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36" w:rsidRPr="004B04FD" w:rsidRDefault="004B04FD" w:rsidP="001179DC">
      <w:pPr>
        <w:pStyle w:val="Heading1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4B04FD">
        <w:rPr>
          <w:rFonts w:ascii="Arial" w:hAnsi="Arial" w:cs="Arial"/>
          <w:color w:val="auto"/>
          <w:sz w:val="22"/>
          <w:szCs w:val="22"/>
        </w:rPr>
        <w:t>S3 File.</w:t>
      </w:r>
      <w:proofErr w:type="gramEnd"/>
      <w:r w:rsidRPr="004B04FD">
        <w:rPr>
          <w:rFonts w:ascii="Arial" w:hAnsi="Arial" w:cs="Arial"/>
          <w:color w:val="auto"/>
          <w:sz w:val="22"/>
          <w:szCs w:val="22"/>
        </w:rPr>
        <w:t xml:space="preserve"> </w:t>
      </w:r>
      <w:r w:rsidR="003D39F5" w:rsidRPr="004B04FD">
        <w:rPr>
          <w:rFonts w:ascii="Arial" w:hAnsi="Arial" w:cs="Arial"/>
          <w:color w:val="auto"/>
          <w:sz w:val="22"/>
          <w:szCs w:val="22"/>
        </w:rPr>
        <w:t xml:space="preserve">Survey data and time-series: Housing </w:t>
      </w:r>
      <w:r w:rsidR="00ED2D18" w:rsidRPr="004B04FD">
        <w:rPr>
          <w:rFonts w:ascii="Arial" w:hAnsi="Arial" w:cs="Arial"/>
          <w:color w:val="auto"/>
          <w:sz w:val="22"/>
          <w:szCs w:val="22"/>
        </w:rPr>
        <w:t>s</w:t>
      </w:r>
      <w:r w:rsidR="00C75213" w:rsidRPr="004B04FD">
        <w:rPr>
          <w:rFonts w:ascii="Arial" w:hAnsi="Arial" w:cs="Arial"/>
          <w:color w:val="auto"/>
          <w:sz w:val="22"/>
          <w:szCs w:val="22"/>
        </w:rPr>
        <w:t>tock</w:t>
      </w:r>
      <w:r w:rsidR="00181D54" w:rsidRPr="004B04F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335E0" w:rsidRPr="004B04FD" w:rsidRDefault="004335E0" w:rsidP="001179DC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  <w:r w:rsidRPr="004B04FD">
        <w:rPr>
          <w:rFonts w:ascii="Arial" w:hAnsi="Arial" w:cs="Arial"/>
          <w:color w:val="auto"/>
          <w:sz w:val="22"/>
          <w:szCs w:val="22"/>
        </w:rPr>
        <w:t>Original sources</w:t>
      </w:r>
    </w:p>
    <w:p w:rsidR="0072157B" w:rsidRPr="004B04FD" w:rsidRDefault="0072157B" w:rsidP="001179DC">
      <w:pPr>
        <w:pStyle w:val="Heading3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</w:rPr>
      </w:pPr>
    </w:p>
    <w:p w:rsidR="00586AAD" w:rsidRPr="004B04FD" w:rsidRDefault="00BB765C" w:rsidP="001179DC">
      <w:pPr>
        <w:jc w:val="both"/>
        <w:rPr>
          <w:rFonts w:ascii="Arial" w:hAnsi="Arial" w:cs="Arial"/>
        </w:rPr>
      </w:pPr>
      <w:r w:rsidRPr="004B04FD">
        <w:rPr>
          <w:rFonts w:ascii="Arial" w:hAnsi="Arial" w:cs="Arial"/>
        </w:rPr>
        <w:t>Source for 1900-2002</w:t>
      </w:r>
    </w:p>
    <w:p w:rsidR="005943C8" w:rsidRPr="009A206B" w:rsidRDefault="00AA2257" w:rsidP="001179DC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 w:rsidRPr="009A206B">
        <w:rPr>
          <w:rFonts w:ascii="Arial" w:hAnsi="Arial" w:cs="Arial"/>
          <w:sz w:val="22"/>
        </w:rPr>
        <w:t>USCB</w:t>
      </w:r>
      <w:r w:rsidR="00BB765C" w:rsidRPr="009A206B">
        <w:rPr>
          <w:rFonts w:ascii="Arial" w:hAnsi="Arial" w:cs="Arial"/>
          <w:sz w:val="22"/>
        </w:rPr>
        <w:t>, Statistical Abstracts</w:t>
      </w:r>
      <w:r w:rsidR="009A206B" w:rsidRPr="009A206B">
        <w:rPr>
          <w:rFonts w:ascii="Arial" w:hAnsi="Arial" w:cs="Arial"/>
          <w:sz w:val="22"/>
        </w:rPr>
        <w:t xml:space="preserve"> of the U.S.: 2003. 2003.</w:t>
      </w:r>
      <w:r w:rsidR="00BB765C" w:rsidRPr="009A206B">
        <w:rPr>
          <w:rFonts w:ascii="Arial" w:hAnsi="Arial" w:cs="Arial"/>
          <w:sz w:val="22"/>
        </w:rPr>
        <w:t xml:space="preserve"> (Table </w:t>
      </w:r>
      <w:r w:rsidR="00E148DB" w:rsidRPr="009A206B">
        <w:rPr>
          <w:rFonts w:ascii="Arial" w:hAnsi="Arial" w:cs="Arial"/>
          <w:sz w:val="22"/>
        </w:rPr>
        <w:t>N</w:t>
      </w:r>
      <w:r w:rsidR="00BB765C" w:rsidRPr="009A206B">
        <w:rPr>
          <w:rFonts w:ascii="Arial" w:hAnsi="Arial" w:cs="Arial"/>
          <w:sz w:val="22"/>
        </w:rPr>
        <w:t>o. HS-12. Households by Type and Size: 1900</w:t>
      </w:r>
      <w:r w:rsidR="00E148DB" w:rsidRPr="009A206B">
        <w:rPr>
          <w:rFonts w:ascii="Arial" w:hAnsi="Arial" w:cs="Arial"/>
          <w:sz w:val="22"/>
        </w:rPr>
        <w:t xml:space="preserve"> to </w:t>
      </w:r>
      <w:r w:rsidR="00BB765C" w:rsidRPr="009A206B">
        <w:rPr>
          <w:rFonts w:ascii="Arial" w:hAnsi="Arial" w:cs="Arial"/>
          <w:sz w:val="22"/>
        </w:rPr>
        <w:t>2002)</w:t>
      </w:r>
      <w:r w:rsidR="00E148DB" w:rsidRPr="009A206B">
        <w:rPr>
          <w:rFonts w:ascii="Arial" w:hAnsi="Arial" w:cs="Arial"/>
          <w:sz w:val="22"/>
        </w:rPr>
        <w:t xml:space="preserve"> </w:t>
      </w:r>
      <w:r w:rsidR="00EA2F34" w:rsidRPr="009A206B">
        <w:rPr>
          <w:rFonts w:ascii="Arial" w:hAnsi="Arial" w:cs="Arial"/>
          <w:sz w:val="22"/>
        </w:rPr>
        <w:t xml:space="preserve"> </w:t>
      </w:r>
    </w:p>
    <w:p w:rsidR="0059619A" w:rsidRPr="009A206B" w:rsidRDefault="0059619A" w:rsidP="001179DC">
      <w:pPr>
        <w:jc w:val="both"/>
        <w:rPr>
          <w:rFonts w:ascii="Arial" w:hAnsi="Arial" w:cs="Arial"/>
        </w:rPr>
      </w:pPr>
      <w:r w:rsidRPr="009A206B">
        <w:rPr>
          <w:rFonts w:ascii="Arial" w:hAnsi="Arial" w:cs="Arial"/>
        </w:rPr>
        <w:t>Source for 1940-2000</w:t>
      </w:r>
    </w:p>
    <w:p w:rsidR="0059619A" w:rsidRPr="009A206B" w:rsidRDefault="0059619A" w:rsidP="001179DC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 w:rsidRPr="009A206B">
        <w:rPr>
          <w:rFonts w:ascii="Arial" w:hAnsi="Arial" w:cs="Arial"/>
          <w:sz w:val="22"/>
        </w:rPr>
        <w:t>USCB Census of Housing, Historical Census of Housing Tables</w:t>
      </w:r>
      <w:r w:rsidR="009A206B" w:rsidRPr="009A206B">
        <w:rPr>
          <w:rFonts w:ascii="Arial" w:hAnsi="Arial" w:cs="Arial"/>
          <w:sz w:val="22"/>
        </w:rPr>
        <w:t xml:space="preserve"> - Units in Structure </w:t>
      </w:r>
      <w:proofErr w:type="spellStart"/>
      <w:r w:rsidR="009A206B" w:rsidRPr="009A206B">
        <w:rPr>
          <w:rFonts w:ascii="Arial" w:hAnsi="Arial" w:cs="Arial"/>
          <w:sz w:val="22"/>
        </w:rPr>
        <w:t>n.d.</w:t>
      </w:r>
      <w:proofErr w:type="spellEnd"/>
    </w:p>
    <w:p w:rsidR="0059619A" w:rsidRDefault="0059619A" w:rsidP="001179DC">
      <w:pPr>
        <w:jc w:val="both"/>
        <w:rPr>
          <w:rFonts w:ascii="Arial" w:hAnsi="Arial" w:cs="Arial"/>
        </w:rPr>
      </w:pPr>
      <w:r w:rsidRPr="004B04FD">
        <w:rPr>
          <w:rFonts w:ascii="Arial" w:hAnsi="Arial" w:cs="Arial"/>
        </w:rPr>
        <w:t>USCB Decennial Census 2000, Part 2</w:t>
      </w:r>
      <w:proofErr w:type="gramStart"/>
      <w:r w:rsidRPr="004B04FD">
        <w:rPr>
          <w:rFonts w:ascii="Arial" w:hAnsi="Arial" w:cs="Arial"/>
        </w:rPr>
        <w:t>,  PHC</w:t>
      </w:r>
      <w:proofErr w:type="gramEnd"/>
      <w:r w:rsidRPr="004B04FD">
        <w:rPr>
          <w:rFonts w:ascii="Arial" w:hAnsi="Arial" w:cs="Arial"/>
        </w:rPr>
        <w:t>-2 , Tables 9 and 10</w:t>
      </w:r>
    </w:p>
    <w:p w:rsidR="007F0B6F" w:rsidRPr="004B04FD" w:rsidRDefault="001B00A9" w:rsidP="001179DC">
      <w:pPr>
        <w:jc w:val="both"/>
        <w:rPr>
          <w:rFonts w:ascii="Arial" w:hAnsi="Arial" w:cs="Arial"/>
        </w:rPr>
      </w:pPr>
      <w:r w:rsidRPr="004B04FD">
        <w:rPr>
          <w:rFonts w:ascii="Arial" w:hAnsi="Arial" w:cs="Arial"/>
        </w:rPr>
        <w:t>Source for 1973-1989</w:t>
      </w:r>
      <w:r w:rsidR="007F0B6F" w:rsidRPr="004B04FD">
        <w:rPr>
          <w:rFonts w:ascii="Arial" w:hAnsi="Arial" w:cs="Arial"/>
        </w:rPr>
        <w:t xml:space="preserve"> (odd years)</w:t>
      </w:r>
    </w:p>
    <w:p w:rsidR="009A206B" w:rsidRPr="009A206B" w:rsidRDefault="007F0B6F" w:rsidP="001179DC">
      <w:pPr>
        <w:pStyle w:val="Bibliography"/>
        <w:jc w:val="both"/>
        <w:rPr>
          <w:rFonts w:ascii="Arial" w:hAnsi="Arial" w:cs="Arial"/>
        </w:rPr>
      </w:pPr>
      <w:proofErr w:type="gramStart"/>
      <w:r w:rsidRPr="004B04FD">
        <w:rPr>
          <w:rFonts w:ascii="Arial" w:hAnsi="Arial" w:cs="Arial"/>
        </w:rPr>
        <w:t>U.S. Department of Housing and Urban Development</w:t>
      </w:r>
      <w:r w:rsidR="009A206B">
        <w:rPr>
          <w:rFonts w:ascii="Arial" w:hAnsi="Arial" w:cs="Arial"/>
        </w:rPr>
        <w:t>.</w:t>
      </w:r>
      <w:proofErr w:type="gramEnd"/>
      <w:r w:rsidR="009A206B" w:rsidRPr="009A206B">
        <w:rPr>
          <w:rFonts w:ascii="Arial" w:hAnsi="Arial" w:cs="Arial"/>
        </w:rPr>
        <w:t xml:space="preserve"> </w:t>
      </w:r>
      <w:proofErr w:type="gramStart"/>
      <w:r w:rsidR="009A206B" w:rsidRPr="009A206B">
        <w:rPr>
          <w:rFonts w:ascii="Arial" w:hAnsi="Arial" w:cs="Arial"/>
        </w:rPr>
        <w:t>Housing Trends in the U.S., 1973 to 1989.</w:t>
      </w:r>
      <w:proofErr w:type="gramEnd"/>
      <w:r w:rsidR="009A206B" w:rsidRPr="009A206B">
        <w:rPr>
          <w:rFonts w:ascii="Arial" w:hAnsi="Arial" w:cs="Arial"/>
        </w:rPr>
        <w:t xml:space="preserve"> </w:t>
      </w:r>
      <w:proofErr w:type="spellStart"/>
      <w:proofErr w:type="gramStart"/>
      <w:r w:rsidR="009A206B" w:rsidRPr="009A206B">
        <w:rPr>
          <w:rFonts w:ascii="Arial" w:hAnsi="Arial" w:cs="Arial"/>
        </w:rPr>
        <w:t>n.d.</w:t>
      </w:r>
      <w:proofErr w:type="spellEnd"/>
      <w:proofErr w:type="gramEnd"/>
    </w:p>
    <w:p w:rsidR="005943C8" w:rsidRPr="004B04FD" w:rsidRDefault="005943C8" w:rsidP="001179DC">
      <w:pPr>
        <w:pStyle w:val="ListParagraph"/>
        <w:jc w:val="both"/>
        <w:rPr>
          <w:rFonts w:ascii="Arial" w:hAnsi="Arial" w:cs="Arial"/>
          <w:sz w:val="22"/>
        </w:rPr>
      </w:pPr>
    </w:p>
    <w:p w:rsidR="007F0B6F" w:rsidRPr="004B04FD" w:rsidRDefault="001B00A9" w:rsidP="001179DC">
      <w:pPr>
        <w:jc w:val="both"/>
        <w:rPr>
          <w:rFonts w:ascii="Arial" w:hAnsi="Arial" w:cs="Arial"/>
        </w:rPr>
      </w:pPr>
      <w:r w:rsidRPr="004B04FD">
        <w:rPr>
          <w:rFonts w:ascii="Arial" w:hAnsi="Arial" w:cs="Arial"/>
        </w:rPr>
        <w:t>Source for 1973-1983</w:t>
      </w:r>
    </w:p>
    <w:p w:rsidR="001B00A9" w:rsidRPr="004B04FD" w:rsidRDefault="00AA2257" w:rsidP="001179DC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</w:rPr>
      </w:pPr>
      <w:r w:rsidRPr="004B04FD">
        <w:rPr>
          <w:rFonts w:ascii="Arial" w:hAnsi="Arial" w:cs="Arial"/>
          <w:sz w:val="22"/>
        </w:rPr>
        <w:t>USCB</w:t>
      </w:r>
      <w:r w:rsidR="001B00A9" w:rsidRPr="004B04FD">
        <w:rPr>
          <w:rFonts w:ascii="Arial" w:hAnsi="Arial" w:cs="Arial"/>
          <w:sz w:val="22"/>
        </w:rPr>
        <w:t xml:space="preserve"> Annual Housing Survey</w:t>
      </w:r>
      <w:r w:rsidR="008D4214" w:rsidRPr="004B04FD">
        <w:rPr>
          <w:rFonts w:ascii="Arial" w:hAnsi="Arial" w:cs="Arial"/>
          <w:sz w:val="22"/>
        </w:rPr>
        <w:t xml:space="preserve">, Tables in h150 series </w:t>
      </w:r>
    </w:p>
    <w:p w:rsidR="00D06034" w:rsidRPr="004B04FD" w:rsidRDefault="00D06034" w:rsidP="001179DC">
      <w:pPr>
        <w:jc w:val="both"/>
        <w:rPr>
          <w:rFonts w:ascii="Arial" w:hAnsi="Arial" w:cs="Arial"/>
        </w:rPr>
      </w:pPr>
    </w:p>
    <w:p w:rsidR="00664B86" w:rsidRPr="007077EC" w:rsidRDefault="00DF211D" w:rsidP="001179DC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  <w:r w:rsidRPr="007077EC">
        <w:rPr>
          <w:rFonts w:ascii="Arial" w:hAnsi="Arial" w:cs="Arial"/>
          <w:color w:val="auto"/>
          <w:sz w:val="22"/>
          <w:szCs w:val="22"/>
        </w:rPr>
        <w:t>Assumptions</w:t>
      </w:r>
    </w:p>
    <w:p w:rsidR="004B225F" w:rsidRPr="007077EC" w:rsidRDefault="004B225F" w:rsidP="001179DC">
      <w:pPr>
        <w:jc w:val="both"/>
        <w:rPr>
          <w:rFonts w:ascii="Arial" w:hAnsi="Arial" w:cs="Arial"/>
        </w:rPr>
      </w:pPr>
    </w:p>
    <w:p w:rsidR="00DF211D" w:rsidRPr="007077EC" w:rsidRDefault="00DF211D" w:rsidP="001179DC">
      <w:pPr>
        <w:jc w:val="both"/>
        <w:rPr>
          <w:rFonts w:ascii="Arial" w:hAnsi="Arial" w:cs="Arial"/>
        </w:rPr>
      </w:pPr>
      <w:r w:rsidRPr="007077EC">
        <w:rPr>
          <w:rFonts w:ascii="Arial" w:hAnsi="Arial" w:cs="Arial"/>
        </w:rPr>
        <w:t>The stock</w:t>
      </w:r>
      <w:r w:rsidR="00556611" w:rsidRPr="007077EC">
        <w:rPr>
          <w:rFonts w:ascii="Arial" w:hAnsi="Arial" w:cs="Arial"/>
        </w:rPr>
        <w:t xml:space="preserve"> time-series were</w:t>
      </w:r>
      <w:r w:rsidRPr="007077EC">
        <w:rPr>
          <w:rFonts w:ascii="Arial" w:hAnsi="Arial" w:cs="Arial"/>
        </w:rPr>
        <w:t xml:space="preserve"> developed based on different data sources, which were combined to produce a consistent time-series.  The time-series are shown in </w:t>
      </w:r>
      <w:r w:rsidR="00B04FF2" w:rsidRPr="007077EC">
        <w:rPr>
          <w:rFonts w:ascii="Arial" w:hAnsi="Arial" w:cs="Arial"/>
        </w:rPr>
        <w:fldChar w:fldCharType="begin"/>
      </w:r>
      <w:r w:rsidR="00B04FF2" w:rsidRPr="007077EC">
        <w:rPr>
          <w:rFonts w:ascii="Arial" w:hAnsi="Arial" w:cs="Arial"/>
        </w:rPr>
        <w:instrText xml:space="preserve"> REF _Ref390420783 \h  \* MERGEFORMAT </w:instrText>
      </w:r>
      <w:r w:rsidR="00B04FF2" w:rsidRPr="007077EC">
        <w:rPr>
          <w:rFonts w:ascii="Arial" w:hAnsi="Arial" w:cs="Arial"/>
        </w:rPr>
      </w:r>
      <w:r w:rsidR="00B04FF2" w:rsidRPr="007077EC">
        <w:rPr>
          <w:rFonts w:ascii="Arial" w:hAnsi="Arial" w:cs="Arial"/>
        </w:rPr>
        <w:fldChar w:fldCharType="separate"/>
      </w:r>
      <w:r w:rsidR="00E419AD" w:rsidRPr="007077EC">
        <w:rPr>
          <w:rFonts w:ascii="Arial" w:hAnsi="Arial" w:cs="Arial"/>
        </w:rPr>
        <w:t>Table 5</w:t>
      </w:r>
      <w:r w:rsidR="00B04FF2" w:rsidRPr="007077EC">
        <w:rPr>
          <w:rFonts w:ascii="Arial" w:hAnsi="Arial" w:cs="Arial"/>
        </w:rPr>
        <w:fldChar w:fldCharType="end"/>
      </w:r>
      <w:r w:rsidR="00556611" w:rsidRPr="007077EC">
        <w:rPr>
          <w:rFonts w:ascii="Arial" w:hAnsi="Arial" w:cs="Arial"/>
        </w:rPr>
        <w:t>.</w:t>
      </w:r>
    </w:p>
    <w:p w:rsidR="00614B87" w:rsidRPr="007077EC" w:rsidRDefault="00397D34" w:rsidP="001179DC">
      <w:pPr>
        <w:pStyle w:val="Heading4"/>
        <w:jc w:val="both"/>
        <w:rPr>
          <w:rFonts w:ascii="Arial" w:hAnsi="Arial" w:cs="Arial"/>
          <w:color w:val="auto"/>
        </w:rPr>
      </w:pPr>
      <w:r w:rsidRPr="007077EC">
        <w:rPr>
          <w:rFonts w:ascii="Arial" w:hAnsi="Arial" w:cs="Arial"/>
          <w:color w:val="auto"/>
        </w:rPr>
        <w:t>1889-1930</w:t>
      </w:r>
    </w:p>
    <w:p w:rsidR="00397D34" w:rsidRPr="007077EC" w:rsidRDefault="00397D34" w:rsidP="001179DC">
      <w:pPr>
        <w:jc w:val="both"/>
        <w:rPr>
          <w:rFonts w:ascii="Arial" w:hAnsi="Arial" w:cs="Arial"/>
        </w:rPr>
      </w:pPr>
      <w:r w:rsidRPr="007077EC">
        <w:rPr>
          <w:rFonts w:ascii="Arial" w:hAnsi="Arial" w:cs="Arial"/>
        </w:rPr>
        <w:t>Aggregated stock</w:t>
      </w:r>
      <w:r w:rsidR="004335E0" w:rsidRPr="007077EC">
        <w:rPr>
          <w:rFonts w:ascii="Arial" w:hAnsi="Arial" w:cs="Arial"/>
        </w:rPr>
        <w:t xml:space="preserve"> for decadal years is ava</w:t>
      </w:r>
      <w:r w:rsidR="00DC054D" w:rsidRPr="007077EC">
        <w:rPr>
          <w:rFonts w:ascii="Arial" w:hAnsi="Arial" w:cs="Arial"/>
        </w:rPr>
        <w:t>ilable for 1900-2002</w:t>
      </w:r>
      <w:r w:rsidR="0090286E" w:rsidRPr="007077EC">
        <w:rPr>
          <w:rFonts w:ascii="Arial" w:hAnsi="Arial" w:cs="Arial"/>
        </w:rPr>
        <w:t xml:space="preserve"> from the </w:t>
      </w:r>
      <w:r w:rsidR="00AA2257" w:rsidRPr="007077EC">
        <w:rPr>
          <w:rFonts w:ascii="Arial" w:hAnsi="Arial" w:cs="Arial"/>
        </w:rPr>
        <w:t>USCB</w:t>
      </w:r>
      <w:r w:rsidR="0090286E" w:rsidRPr="007077EC">
        <w:rPr>
          <w:rFonts w:ascii="Arial" w:hAnsi="Arial" w:cs="Arial"/>
        </w:rPr>
        <w:t xml:space="preserve"> Statistical Abstracts</w:t>
      </w:r>
      <w:r w:rsidR="00BB765C" w:rsidRPr="007077EC">
        <w:rPr>
          <w:rFonts w:ascii="Arial" w:hAnsi="Arial" w:cs="Arial"/>
        </w:rPr>
        <w:t>.</w:t>
      </w:r>
      <w:r w:rsidR="00402BAE" w:rsidRPr="007077EC">
        <w:rPr>
          <w:rFonts w:ascii="Arial" w:hAnsi="Arial" w:cs="Arial"/>
        </w:rPr>
        <w:t xml:space="preserve"> </w:t>
      </w:r>
      <w:proofErr w:type="gramStart"/>
      <w:r w:rsidR="00402BAE" w:rsidRPr="007077EC">
        <w:rPr>
          <w:rFonts w:ascii="Arial" w:hAnsi="Arial" w:cs="Arial"/>
        </w:rPr>
        <w:t>Disaggregated  stock</w:t>
      </w:r>
      <w:proofErr w:type="gramEnd"/>
      <w:r w:rsidR="00402BAE" w:rsidRPr="007077EC">
        <w:rPr>
          <w:rFonts w:ascii="Arial" w:hAnsi="Arial" w:cs="Arial"/>
        </w:rPr>
        <w:t xml:space="preserve"> is available for 1940</w:t>
      </w:r>
      <w:r w:rsidR="00DC054D" w:rsidRPr="007077EC">
        <w:rPr>
          <w:rFonts w:ascii="Arial" w:hAnsi="Arial" w:cs="Arial"/>
        </w:rPr>
        <w:t xml:space="preserve">-2000 from </w:t>
      </w:r>
      <w:r w:rsidR="00882F79" w:rsidRPr="007077EC">
        <w:rPr>
          <w:rFonts w:ascii="Arial" w:hAnsi="Arial" w:cs="Arial"/>
        </w:rPr>
        <w:t xml:space="preserve">the </w:t>
      </w:r>
      <w:r w:rsidR="00AA2257" w:rsidRPr="007077EC">
        <w:rPr>
          <w:rFonts w:ascii="Arial" w:hAnsi="Arial" w:cs="Arial"/>
        </w:rPr>
        <w:t>USCB</w:t>
      </w:r>
      <w:r w:rsidR="0090286E" w:rsidRPr="007077EC">
        <w:rPr>
          <w:rFonts w:ascii="Arial" w:hAnsi="Arial" w:cs="Arial"/>
        </w:rPr>
        <w:t xml:space="preserve"> Census of Housing</w:t>
      </w:r>
      <w:r w:rsidR="00402BAE" w:rsidRPr="007077EC">
        <w:rPr>
          <w:rFonts w:ascii="Arial" w:hAnsi="Arial" w:cs="Arial"/>
        </w:rPr>
        <w:t xml:space="preserve">. </w:t>
      </w:r>
      <w:proofErr w:type="gramStart"/>
      <w:r w:rsidR="00402BAE" w:rsidRPr="007077EC">
        <w:rPr>
          <w:rFonts w:ascii="Arial" w:hAnsi="Arial" w:cs="Arial"/>
        </w:rPr>
        <w:t xml:space="preserve">When </w:t>
      </w:r>
      <w:r w:rsidR="004F5347" w:rsidRPr="007077EC">
        <w:rPr>
          <w:rFonts w:ascii="Arial" w:hAnsi="Arial" w:cs="Arial"/>
        </w:rPr>
        <w:t>data</w:t>
      </w:r>
      <w:r w:rsidR="00402BAE" w:rsidRPr="007077EC">
        <w:rPr>
          <w:rFonts w:ascii="Arial" w:hAnsi="Arial" w:cs="Arial"/>
        </w:rPr>
        <w:t xml:space="preserve"> for the overlapping years</w:t>
      </w:r>
      <w:r w:rsidR="001B6349" w:rsidRPr="007077EC">
        <w:rPr>
          <w:rFonts w:ascii="Arial" w:hAnsi="Arial" w:cs="Arial"/>
        </w:rPr>
        <w:t xml:space="preserve"> 1940-2000 were</w:t>
      </w:r>
      <w:r w:rsidR="00402BAE" w:rsidRPr="007077EC">
        <w:rPr>
          <w:rFonts w:ascii="Arial" w:hAnsi="Arial" w:cs="Arial"/>
        </w:rPr>
        <w:t xml:space="preserve"> compared</w:t>
      </w:r>
      <w:r w:rsidR="0090286E" w:rsidRPr="007077EC">
        <w:rPr>
          <w:rFonts w:ascii="Arial" w:hAnsi="Arial" w:cs="Arial"/>
        </w:rPr>
        <w:t xml:space="preserve">, </w:t>
      </w:r>
      <w:r w:rsidR="00071917" w:rsidRPr="007077EC">
        <w:rPr>
          <w:rFonts w:ascii="Arial" w:hAnsi="Arial" w:cs="Arial"/>
        </w:rPr>
        <w:t>stock</w:t>
      </w:r>
      <w:r w:rsidR="0090286E" w:rsidRPr="007077EC">
        <w:rPr>
          <w:rFonts w:ascii="Arial" w:hAnsi="Arial" w:cs="Arial"/>
        </w:rPr>
        <w:t xml:space="preserve"> as reported by </w:t>
      </w:r>
      <w:r w:rsidR="00882F79" w:rsidRPr="007077EC">
        <w:rPr>
          <w:rFonts w:ascii="Arial" w:hAnsi="Arial" w:cs="Arial"/>
        </w:rPr>
        <w:t xml:space="preserve">the </w:t>
      </w:r>
      <w:r w:rsidR="0090286E" w:rsidRPr="007077EC">
        <w:rPr>
          <w:rFonts w:ascii="Arial" w:hAnsi="Arial" w:cs="Arial"/>
        </w:rPr>
        <w:t>Census of Housing</w:t>
      </w:r>
      <w:r w:rsidR="001B6349" w:rsidRPr="007077EC">
        <w:rPr>
          <w:rFonts w:ascii="Arial" w:hAnsi="Arial" w:cs="Arial"/>
        </w:rPr>
        <w:t xml:space="preserve"> was</w:t>
      </w:r>
      <w:r w:rsidR="0090286E" w:rsidRPr="007077EC">
        <w:rPr>
          <w:rFonts w:ascii="Arial" w:hAnsi="Arial" w:cs="Arial"/>
        </w:rPr>
        <w:t xml:space="preserve"> on the average</w:t>
      </w:r>
      <w:r w:rsidR="00402BAE" w:rsidRPr="007077EC">
        <w:rPr>
          <w:rFonts w:ascii="Arial" w:hAnsi="Arial" w:cs="Arial"/>
        </w:rPr>
        <w:t xml:space="preserve"> 9%</w:t>
      </w:r>
      <w:r w:rsidR="0090286E" w:rsidRPr="007077EC">
        <w:rPr>
          <w:rFonts w:ascii="Arial" w:hAnsi="Arial" w:cs="Arial"/>
        </w:rPr>
        <w:t xml:space="preserve"> larger</w:t>
      </w:r>
      <w:r w:rsidR="00402BAE" w:rsidRPr="007077EC">
        <w:rPr>
          <w:rFonts w:ascii="Arial" w:hAnsi="Arial" w:cs="Arial"/>
        </w:rPr>
        <w:t>.</w:t>
      </w:r>
      <w:proofErr w:type="gramEnd"/>
      <w:r w:rsidR="00071917" w:rsidRPr="007077EC">
        <w:rPr>
          <w:rFonts w:ascii="Arial" w:hAnsi="Arial" w:cs="Arial"/>
        </w:rPr>
        <w:t xml:space="preserve"> So we adjusted </w:t>
      </w:r>
      <w:r w:rsidR="00882F79" w:rsidRPr="007077EC">
        <w:rPr>
          <w:rFonts w:ascii="Arial" w:hAnsi="Arial" w:cs="Arial"/>
        </w:rPr>
        <w:t xml:space="preserve">the </w:t>
      </w:r>
      <w:r w:rsidR="00071917" w:rsidRPr="007077EC">
        <w:rPr>
          <w:rFonts w:ascii="Arial" w:hAnsi="Arial" w:cs="Arial"/>
        </w:rPr>
        <w:t xml:space="preserve">Statistical Abstract </w:t>
      </w:r>
      <w:r w:rsidR="00C86FF9" w:rsidRPr="007077EC">
        <w:rPr>
          <w:rFonts w:ascii="Arial" w:hAnsi="Arial" w:cs="Arial"/>
        </w:rPr>
        <w:fldChar w:fldCharType="begin"/>
      </w:r>
      <w:r w:rsidR="00882F79" w:rsidRPr="007077EC">
        <w:rPr>
          <w:rFonts w:ascii="Arial" w:hAnsi="Arial" w:cs="Arial"/>
        </w:rPr>
        <w:instrText xml:space="preserve"> ADDIN ZOTERO_ITEM CSL_CITATION {"citationID":"2jtri0vhse","properties":{"formattedCitation":"[5]","plainCitation":"[5]"},"citationItems":[{"id":56,"uris":["http://zotero.org/users/605324/items/PC9HCMQF"],"uri":["http://zotero.org/users/605324/items/PC9HCMQF"],"itemData":{"id":56,"type":"report","title":"Statistical Abstract of the U.S.: 2003","URL":"https://www.census.gov/statab/hist/HS-12.pdf","author":[{"family":"U.S. Census Bureau","given":""}],"issued":{"date-parts":[["2003"]]}}}],"schema":"https://github.com/citation-style-language/schema/raw/master/csl-citation.json"} </w:instrText>
      </w:r>
      <w:r w:rsidR="00C86FF9" w:rsidRPr="007077EC">
        <w:rPr>
          <w:rFonts w:ascii="Arial" w:hAnsi="Arial" w:cs="Arial"/>
        </w:rPr>
        <w:fldChar w:fldCharType="separate"/>
      </w:r>
      <w:r w:rsidR="00882F79" w:rsidRPr="007077EC">
        <w:rPr>
          <w:rFonts w:ascii="Arial" w:hAnsi="Arial" w:cs="Arial"/>
        </w:rPr>
        <w:t>[5]</w:t>
      </w:r>
      <w:r w:rsidR="00C86FF9" w:rsidRPr="007077EC">
        <w:rPr>
          <w:rFonts w:ascii="Arial" w:hAnsi="Arial" w:cs="Arial"/>
        </w:rPr>
        <w:fldChar w:fldCharType="end"/>
      </w:r>
      <w:r w:rsidR="00882F79" w:rsidRPr="007077EC">
        <w:rPr>
          <w:rFonts w:ascii="Arial" w:hAnsi="Arial" w:cs="Arial"/>
        </w:rPr>
        <w:t xml:space="preserve"> </w:t>
      </w:r>
      <w:r w:rsidR="00071917" w:rsidRPr="007077EC">
        <w:rPr>
          <w:rFonts w:ascii="Arial" w:hAnsi="Arial" w:cs="Arial"/>
        </w:rPr>
        <w:t>aggregate stock by this percentage for 1900-1930 to o</w:t>
      </w:r>
      <w:r w:rsidR="004F5347" w:rsidRPr="007077EC">
        <w:rPr>
          <w:rFonts w:ascii="Arial" w:hAnsi="Arial" w:cs="Arial"/>
        </w:rPr>
        <w:t xml:space="preserve">btain consistent set of </w:t>
      </w:r>
      <w:r w:rsidR="00071917" w:rsidRPr="007077EC">
        <w:rPr>
          <w:rFonts w:ascii="Arial" w:hAnsi="Arial" w:cs="Arial"/>
        </w:rPr>
        <w:t>stock data for 1900-2000.</w:t>
      </w:r>
    </w:p>
    <w:p w:rsidR="00E502E8" w:rsidRPr="007077EC" w:rsidRDefault="00457C06" w:rsidP="001179DC">
      <w:pPr>
        <w:jc w:val="both"/>
        <w:rPr>
          <w:rFonts w:ascii="Arial" w:hAnsi="Arial" w:cs="Arial"/>
        </w:rPr>
      </w:pPr>
      <w:r w:rsidRPr="007077EC">
        <w:rPr>
          <w:rFonts w:ascii="Arial" w:hAnsi="Arial" w:cs="Arial"/>
        </w:rPr>
        <w:t>To</w:t>
      </w:r>
      <w:r w:rsidR="00071917" w:rsidRPr="007077EC">
        <w:rPr>
          <w:rFonts w:ascii="Arial" w:hAnsi="Arial" w:cs="Arial"/>
        </w:rPr>
        <w:t xml:space="preserve"> disaggregate </w:t>
      </w:r>
      <w:r w:rsidRPr="007077EC">
        <w:rPr>
          <w:rFonts w:ascii="Arial" w:hAnsi="Arial" w:cs="Arial"/>
        </w:rPr>
        <w:t xml:space="preserve">stock for 1900-1930, for lack of a better option, a coefficient </w:t>
      </w:r>
      <w:r w:rsidR="00C35CB0" w:rsidRPr="007077EC">
        <w:rPr>
          <w:rFonts w:ascii="Arial" w:hAnsi="Arial" w:cs="Arial"/>
        </w:rPr>
        <w:t xml:space="preserve">was derived </w:t>
      </w:r>
      <w:r w:rsidRPr="007077EC">
        <w:rPr>
          <w:rFonts w:ascii="Arial" w:hAnsi="Arial" w:cs="Arial"/>
        </w:rPr>
        <w:t xml:space="preserve">based on </w:t>
      </w:r>
      <w:r w:rsidR="00C35CB0" w:rsidRPr="007077EC">
        <w:rPr>
          <w:rFonts w:ascii="Arial" w:hAnsi="Arial" w:cs="Arial"/>
        </w:rPr>
        <w:t xml:space="preserve">the proportion of each type of building in </w:t>
      </w:r>
      <w:r w:rsidR="003D39F5" w:rsidRPr="007077EC">
        <w:rPr>
          <w:rFonts w:ascii="Arial" w:hAnsi="Arial" w:cs="Arial"/>
        </w:rPr>
        <w:t>construction</w:t>
      </w:r>
      <w:r w:rsidR="00C35CB0" w:rsidRPr="007077EC">
        <w:rPr>
          <w:rFonts w:ascii="Arial" w:hAnsi="Arial" w:cs="Arial"/>
        </w:rPr>
        <w:t xml:space="preserve"> data</w:t>
      </w:r>
      <w:r w:rsidRPr="007077EC">
        <w:rPr>
          <w:rFonts w:ascii="Arial" w:hAnsi="Arial" w:cs="Arial"/>
        </w:rPr>
        <w:t xml:space="preserve"> </w:t>
      </w:r>
      <w:r w:rsidR="00C35CB0" w:rsidRPr="007077EC">
        <w:rPr>
          <w:rFonts w:ascii="Arial" w:hAnsi="Arial" w:cs="Arial"/>
        </w:rPr>
        <w:t xml:space="preserve">and was </w:t>
      </w:r>
      <w:r w:rsidRPr="007077EC">
        <w:rPr>
          <w:rFonts w:ascii="Arial" w:hAnsi="Arial" w:cs="Arial"/>
        </w:rPr>
        <w:t>applied to the stock</w:t>
      </w:r>
      <w:r w:rsidR="00C35CB0" w:rsidRPr="007077EC">
        <w:rPr>
          <w:rFonts w:ascii="Arial" w:hAnsi="Arial" w:cs="Arial"/>
        </w:rPr>
        <w:t xml:space="preserve"> data.</w:t>
      </w:r>
      <w:r w:rsidR="00E502E8" w:rsidRPr="007077EC">
        <w:rPr>
          <w:rFonts w:ascii="Arial" w:hAnsi="Arial" w:cs="Arial"/>
        </w:rPr>
        <w:t xml:space="preserve">  The estimated fractions of type of building relative to all bui</w:t>
      </w:r>
      <w:r w:rsidR="001B6349" w:rsidRPr="007077EC">
        <w:rPr>
          <w:rFonts w:ascii="Arial" w:hAnsi="Arial" w:cs="Arial"/>
        </w:rPr>
        <w:t xml:space="preserve">ldings obtained, based on </w:t>
      </w:r>
      <w:r w:rsidR="003D39F5" w:rsidRPr="007077EC">
        <w:rPr>
          <w:rFonts w:ascii="Arial" w:hAnsi="Arial" w:cs="Arial"/>
        </w:rPr>
        <w:t>construction</w:t>
      </w:r>
      <w:r w:rsidR="001B6349" w:rsidRPr="007077EC">
        <w:rPr>
          <w:rFonts w:ascii="Arial" w:hAnsi="Arial" w:cs="Arial"/>
        </w:rPr>
        <w:t>, were</w:t>
      </w:r>
      <w:r w:rsidR="00E502E8" w:rsidRPr="007077EC">
        <w:rPr>
          <w:rFonts w:ascii="Arial" w:hAnsi="Arial" w:cs="Arial"/>
        </w:rPr>
        <w:t xml:space="preserve"> the following:</w:t>
      </w:r>
    </w:p>
    <w:p w:rsidR="00DA531B" w:rsidRPr="004B04FD" w:rsidRDefault="00DA531B" w:rsidP="001179DC">
      <w:pPr>
        <w:pStyle w:val="Caption"/>
        <w:keepNext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Toc421781016"/>
      <w:r w:rsidRPr="004B04FD">
        <w:rPr>
          <w:rFonts w:ascii="Arial" w:hAnsi="Arial" w:cs="Arial"/>
          <w:color w:val="auto"/>
          <w:sz w:val="22"/>
          <w:szCs w:val="22"/>
        </w:rPr>
        <w:lastRenderedPageBreak/>
        <w:t xml:space="preserve">Table </w:t>
      </w:r>
      <w:r w:rsidR="00B04FF2">
        <w:rPr>
          <w:rFonts w:ascii="Arial" w:hAnsi="Arial" w:cs="Arial"/>
          <w:color w:val="auto"/>
          <w:sz w:val="22"/>
          <w:szCs w:val="22"/>
        </w:rPr>
        <w:t>A</w:t>
      </w:r>
      <w:r w:rsidR="00163AE8">
        <w:rPr>
          <w:rFonts w:ascii="Arial" w:hAnsi="Arial" w:cs="Arial"/>
          <w:color w:val="auto"/>
          <w:sz w:val="22"/>
          <w:szCs w:val="22"/>
        </w:rPr>
        <w:t xml:space="preserve">. </w:t>
      </w:r>
      <w:r w:rsidRPr="004B04FD">
        <w:rPr>
          <w:rFonts w:ascii="Arial" w:hAnsi="Arial" w:cs="Arial"/>
          <w:color w:val="auto"/>
          <w:sz w:val="22"/>
          <w:szCs w:val="22"/>
        </w:rPr>
        <w:t>Building type disaggregation coefficient for stock, 1890-1930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4"/>
        <w:gridCol w:w="738"/>
        <w:gridCol w:w="1152"/>
        <w:gridCol w:w="1152"/>
      </w:tblGrid>
      <w:tr w:rsidR="00E502E8" w:rsidRPr="004B04FD" w:rsidTr="001B6349">
        <w:trPr>
          <w:cantSplit/>
          <w:jc w:val="center"/>
        </w:trPr>
        <w:tc>
          <w:tcPr>
            <w:tcW w:w="1264" w:type="dxa"/>
          </w:tcPr>
          <w:p w:rsidR="00E502E8" w:rsidRPr="004B04FD" w:rsidRDefault="00E502E8" w:rsidP="001179DC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E502E8" w:rsidRPr="004B04FD" w:rsidRDefault="00E502E8" w:rsidP="001179DC">
            <w:pPr>
              <w:keepNext/>
              <w:jc w:val="both"/>
              <w:rPr>
                <w:rFonts w:ascii="Arial" w:hAnsi="Arial" w:cs="Arial"/>
                <w:b/>
              </w:rPr>
            </w:pPr>
            <w:r w:rsidRPr="004B04FD">
              <w:rPr>
                <w:rFonts w:ascii="Arial" w:hAnsi="Arial" w:cs="Arial"/>
                <w:b/>
              </w:rPr>
              <w:t>SF</w:t>
            </w:r>
          </w:p>
        </w:tc>
        <w:tc>
          <w:tcPr>
            <w:tcW w:w="1152" w:type="dxa"/>
          </w:tcPr>
          <w:p w:rsidR="00E502E8" w:rsidRPr="004B04FD" w:rsidRDefault="00E502E8" w:rsidP="001179DC">
            <w:pPr>
              <w:keepNext/>
              <w:jc w:val="both"/>
              <w:rPr>
                <w:rFonts w:ascii="Arial" w:hAnsi="Arial" w:cs="Arial"/>
                <w:b/>
              </w:rPr>
            </w:pPr>
            <w:r w:rsidRPr="004B04FD">
              <w:rPr>
                <w:rFonts w:ascii="Arial" w:hAnsi="Arial" w:cs="Arial"/>
                <w:b/>
              </w:rPr>
              <w:t>MF</w:t>
            </w:r>
          </w:p>
        </w:tc>
        <w:tc>
          <w:tcPr>
            <w:tcW w:w="1152" w:type="dxa"/>
          </w:tcPr>
          <w:p w:rsidR="00E502E8" w:rsidRPr="004B04FD" w:rsidRDefault="00E502E8" w:rsidP="001179DC">
            <w:pPr>
              <w:keepNext/>
              <w:jc w:val="both"/>
              <w:rPr>
                <w:rFonts w:ascii="Arial" w:hAnsi="Arial" w:cs="Arial"/>
                <w:b/>
              </w:rPr>
            </w:pPr>
            <w:r w:rsidRPr="004B04FD">
              <w:rPr>
                <w:rFonts w:ascii="Arial" w:hAnsi="Arial" w:cs="Arial"/>
                <w:b/>
              </w:rPr>
              <w:t>MH</w:t>
            </w:r>
          </w:p>
        </w:tc>
      </w:tr>
      <w:tr w:rsidR="00E502E8" w:rsidRPr="004B04FD" w:rsidTr="001B6349">
        <w:trPr>
          <w:jc w:val="center"/>
        </w:trPr>
        <w:tc>
          <w:tcPr>
            <w:tcW w:w="1264" w:type="dxa"/>
          </w:tcPr>
          <w:p w:rsidR="00E502E8" w:rsidRPr="004B04FD" w:rsidRDefault="00E502E8" w:rsidP="001179DC">
            <w:pPr>
              <w:jc w:val="both"/>
              <w:rPr>
                <w:rFonts w:ascii="Arial" w:hAnsi="Arial" w:cs="Arial"/>
                <w:b/>
              </w:rPr>
            </w:pPr>
            <w:r w:rsidRPr="004B04FD">
              <w:rPr>
                <w:rFonts w:ascii="Arial" w:hAnsi="Arial" w:cs="Arial"/>
                <w:b/>
              </w:rPr>
              <w:t>1889-1930</w:t>
            </w:r>
          </w:p>
        </w:tc>
        <w:tc>
          <w:tcPr>
            <w:tcW w:w="738" w:type="dxa"/>
          </w:tcPr>
          <w:p w:rsidR="00E502E8" w:rsidRPr="004B04FD" w:rsidRDefault="00E502E8" w:rsidP="001179DC">
            <w:pPr>
              <w:jc w:val="both"/>
              <w:rPr>
                <w:rFonts w:ascii="Arial" w:hAnsi="Arial" w:cs="Arial"/>
              </w:rPr>
            </w:pPr>
            <w:r w:rsidRPr="004B04FD">
              <w:rPr>
                <w:rFonts w:ascii="Arial" w:hAnsi="Arial" w:cs="Arial"/>
              </w:rPr>
              <w:t>0.74</w:t>
            </w:r>
          </w:p>
        </w:tc>
        <w:tc>
          <w:tcPr>
            <w:tcW w:w="1152" w:type="dxa"/>
          </w:tcPr>
          <w:p w:rsidR="00E502E8" w:rsidRPr="004B04FD" w:rsidRDefault="00E502E8" w:rsidP="001179DC">
            <w:pPr>
              <w:jc w:val="both"/>
              <w:rPr>
                <w:rFonts w:ascii="Arial" w:hAnsi="Arial" w:cs="Arial"/>
              </w:rPr>
            </w:pPr>
            <w:r w:rsidRPr="004B04FD">
              <w:rPr>
                <w:rFonts w:ascii="Arial" w:hAnsi="Arial" w:cs="Arial"/>
              </w:rPr>
              <w:t>0.22</w:t>
            </w:r>
          </w:p>
        </w:tc>
        <w:tc>
          <w:tcPr>
            <w:tcW w:w="1152" w:type="dxa"/>
          </w:tcPr>
          <w:p w:rsidR="00E502E8" w:rsidRPr="004B04FD" w:rsidRDefault="00E502E8" w:rsidP="001179DC">
            <w:pPr>
              <w:jc w:val="both"/>
              <w:rPr>
                <w:rFonts w:ascii="Arial" w:hAnsi="Arial" w:cs="Arial"/>
              </w:rPr>
            </w:pPr>
            <w:r w:rsidRPr="004B04FD">
              <w:rPr>
                <w:rFonts w:ascii="Arial" w:hAnsi="Arial" w:cs="Arial"/>
              </w:rPr>
              <w:t>0.04</w:t>
            </w:r>
          </w:p>
        </w:tc>
      </w:tr>
    </w:tbl>
    <w:p w:rsidR="00E502E8" w:rsidRPr="004B04FD" w:rsidRDefault="00E502E8" w:rsidP="001179DC">
      <w:pPr>
        <w:jc w:val="both"/>
        <w:rPr>
          <w:rFonts w:ascii="Arial" w:hAnsi="Arial" w:cs="Arial"/>
        </w:rPr>
      </w:pPr>
    </w:p>
    <w:p w:rsidR="00397D34" w:rsidRPr="004B04FD" w:rsidRDefault="001B6349" w:rsidP="001179DC">
      <w:pPr>
        <w:jc w:val="both"/>
        <w:rPr>
          <w:rFonts w:ascii="Arial" w:hAnsi="Arial" w:cs="Arial"/>
        </w:rPr>
      </w:pPr>
      <w:r w:rsidRPr="004B04FD">
        <w:rPr>
          <w:rFonts w:ascii="Arial" w:hAnsi="Arial" w:cs="Arial"/>
        </w:rPr>
        <w:t>Ex</w:t>
      </w:r>
      <w:r w:rsidR="00664B86" w:rsidRPr="004B04FD">
        <w:rPr>
          <w:rFonts w:ascii="Arial" w:hAnsi="Arial" w:cs="Arial"/>
        </w:rPr>
        <w:t>:</w:t>
      </w:r>
      <w:r w:rsidRPr="004B04FD">
        <w:rPr>
          <w:rFonts w:ascii="Arial" w:hAnsi="Arial" w:cs="Arial"/>
        </w:rPr>
        <w:t xml:space="preserve"> </w:t>
      </w:r>
      <w:r w:rsidR="00664B86" w:rsidRPr="004B04FD">
        <w:rPr>
          <w:rFonts w:ascii="Arial" w:hAnsi="Arial" w:cs="Arial"/>
        </w:rPr>
        <w:t xml:space="preserve">In 1900 there are 15,964,000 units of all types. Applying the 9% coefficient, this becomes 17,362,768. Disaggregating with </w:t>
      </w:r>
      <w:r w:rsidR="003D39F5" w:rsidRPr="004B04FD">
        <w:rPr>
          <w:rFonts w:ascii="Arial" w:hAnsi="Arial" w:cs="Arial"/>
        </w:rPr>
        <w:t>construction</w:t>
      </w:r>
      <w:r w:rsidR="00664B86" w:rsidRPr="004B04FD">
        <w:rPr>
          <w:rFonts w:ascii="Arial" w:hAnsi="Arial" w:cs="Arial"/>
        </w:rPr>
        <w:t>-based coefficient, we obtain</w:t>
      </w:r>
      <w:r w:rsidRPr="004B04FD">
        <w:rPr>
          <w:rFonts w:ascii="Arial" w:hAnsi="Arial" w:cs="Arial"/>
        </w:rPr>
        <w:t>ed</w:t>
      </w:r>
      <w:r w:rsidR="00664B86" w:rsidRPr="004B04FD">
        <w:rPr>
          <w:rFonts w:ascii="Arial" w:hAnsi="Arial" w:cs="Arial"/>
        </w:rPr>
        <w:t xml:space="preserve"> </w:t>
      </w:r>
      <w:r w:rsidR="009F5E98" w:rsidRPr="004B04FD">
        <w:rPr>
          <w:rFonts w:ascii="Arial" w:hAnsi="Arial" w:cs="Arial"/>
        </w:rPr>
        <w:t>12,801,301</w:t>
      </w:r>
      <w:r w:rsidR="00664B86" w:rsidRPr="004B04FD">
        <w:rPr>
          <w:rFonts w:ascii="Arial" w:hAnsi="Arial" w:cs="Arial"/>
        </w:rPr>
        <w:t xml:space="preserve"> SF units</w:t>
      </w:r>
      <w:r w:rsidR="00EE1234" w:rsidRPr="004B04FD">
        <w:rPr>
          <w:rFonts w:ascii="Arial" w:hAnsi="Arial" w:cs="Arial"/>
        </w:rPr>
        <w:t xml:space="preserve">, </w:t>
      </w:r>
      <w:r w:rsidR="009F5E98" w:rsidRPr="004B04FD">
        <w:rPr>
          <w:rFonts w:ascii="Arial" w:hAnsi="Arial" w:cs="Arial"/>
        </w:rPr>
        <w:t>3,840,349</w:t>
      </w:r>
      <w:r w:rsidR="00664B86" w:rsidRPr="004B04FD">
        <w:rPr>
          <w:rFonts w:ascii="Arial" w:hAnsi="Arial" w:cs="Arial"/>
        </w:rPr>
        <w:t xml:space="preserve"> MF units and 721,119 MH units.</w:t>
      </w:r>
    </w:p>
    <w:p w:rsidR="00E448FE" w:rsidRPr="004B04FD" w:rsidRDefault="00B5242B" w:rsidP="001179DC">
      <w:pPr>
        <w:pStyle w:val="Heading4"/>
        <w:jc w:val="both"/>
        <w:rPr>
          <w:rFonts w:ascii="Arial" w:hAnsi="Arial" w:cs="Arial"/>
          <w:color w:val="auto"/>
        </w:rPr>
      </w:pPr>
      <w:r w:rsidRPr="004B04FD">
        <w:rPr>
          <w:rFonts w:ascii="Arial" w:hAnsi="Arial" w:cs="Arial"/>
          <w:color w:val="auto"/>
        </w:rPr>
        <w:t>1940-</w:t>
      </w:r>
      <w:r w:rsidR="007A6549" w:rsidRPr="004B04FD">
        <w:rPr>
          <w:rFonts w:ascii="Arial" w:hAnsi="Arial" w:cs="Arial"/>
          <w:color w:val="auto"/>
        </w:rPr>
        <w:t>1970</w:t>
      </w:r>
    </w:p>
    <w:p w:rsidR="007A6549" w:rsidRPr="004B04FD" w:rsidRDefault="007A6549" w:rsidP="001179DC">
      <w:pPr>
        <w:jc w:val="both"/>
        <w:rPr>
          <w:rFonts w:ascii="Arial" w:hAnsi="Arial" w:cs="Arial"/>
        </w:rPr>
      </w:pPr>
      <w:r w:rsidRPr="004B04FD">
        <w:rPr>
          <w:rFonts w:ascii="Arial" w:hAnsi="Arial" w:cs="Arial"/>
        </w:rPr>
        <w:t xml:space="preserve">Disaggregated stock is available from </w:t>
      </w:r>
      <w:r w:rsidR="00882F79" w:rsidRPr="004B04FD">
        <w:rPr>
          <w:rFonts w:ascii="Arial" w:hAnsi="Arial" w:cs="Arial"/>
        </w:rPr>
        <w:t xml:space="preserve">the </w:t>
      </w:r>
      <w:r w:rsidRPr="004B04FD">
        <w:rPr>
          <w:rFonts w:ascii="Arial" w:hAnsi="Arial" w:cs="Arial"/>
        </w:rPr>
        <w:t>Census of Housing.</w:t>
      </w:r>
    </w:p>
    <w:p w:rsidR="00DC5592" w:rsidRPr="004B04FD" w:rsidRDefault="00DC5592" w:rsidP="001179DC">
      <w:pPr>
        <w:pStyle w:val="Heading4"/>
        <w:jc w:val="both"/>
        <w:rPr>
          <w:rFonts w:ascii="Arial" w:hAnsi="Arial" w:cs="Arial"/>
          <w:color w:val="auto"/>
        </w:rPr>
      </w:pPr>
      <w:r w:rsidRPr="004B04FD">
        <w:rPr>
          <w:rFonts w:ascii="Arial" w:hAnsi="Arial" w:cs="Arial"/>
          <w:color w:val="auto"/>
        </w:rPr>
        <w:t>1973-1989</w:t>
      </w:r>
    </w:p>
    <w:p w:rsidR="00464D28" w:rsidRPr="007077EC" w:rsidRDefault="00FF6806" w:rsidP="001179DC">
      <w:pPr>
        <w:jc w:val="both"/>
        <w:rPr>
          <w:rFonts w:ascii="Arial" w:hAnsi="Arial" w:cs="Arial"/>
        </w:rPr>
      </w:pPr>
      <w:r w:rsidRPr="004B04FD">
        <w:rPr>
          <w:rFonts w:ascii="Arial" w:hAnsi="Arial" w:cs="Arial"/>
        </w:rPr>
        <w:t xml:space="preserve">The </w:t>
      </w:r>
      <w:r w:rsidR="00AA2257" w:rsidRPr="004B04FD">
        <w:rPr>
          <w:rFonts w:ascii="Arial" w:hAnsi="Arial" w:cs="Arial"/>
        </w:rPr>
        <w:t>USCB</w:t>
      </w:r>
      <w:r w:rsidR="005943C8" w:rsidRPr="004B04FD">
        <w:rPr>
          <w:rFonts w:ascii="Arial" w:hAnsi="Arial" w:cs="Arial"/>
        </w:rPr>
        <w:t xml:space="preserve"> </w:t>
      </w:r>
      <w:r w:rsidR="00882F79" w:rsidRPr="004B04FD">
        <w:rPr>
          <w:rFonts w:ascii="Arial" w:hAnsi="Arial" w:cs="Arial"/>
        </w:rPr>
        <w:t>‘</w:t>
      </w:r>
      <w:r w:rsidR="005943C8" w:rsidRPr="004B04FD">
        <w:rPr>
          <w:rFonts w:ascii="Arial" w:hAnsi="Arial" w:cs="Arial"/>
        </w:rPr>
        <w:t>h150 series</w:t>
      </w:r>
      <w:r w:rsidR="00882F79" w:rsidRPr="004B04FD">
        <w:rPr>
          <w:rFonts w:ascii="Arial" w:hAnsi="Arial" w:cs="Arial"/>
        </w:rPr>
        <w:t xml:space="preserve">’ </w:t>
      </w:r>
      <w:r w:rsidR="00C86FF9" w:rsidRPr="004B04FD">
        <w:rPr>
          <w:rFonts w:ascii="Arial" w:hAnsi="Arial" w:cs="Arial"/>
        </w:rPr>
        <w:fldChar w:fldCharType="begin"/>
      </w:r>
      <w:r w:rsidR="00882F79" w:rsidRPr="004B04FD">
        <w:rPr>
          <w:rFonts w:ascii="Arial" w:hAnsi="Arial" w:cs="Arial"/>
        </w:rPr>
        <w:instrText xml:space="preserve"> ADDIN ZOTERO_ITEM CSL_CITATION {"citationID":"unpkvks9","properties":{"formattedCitation":"[8]","plainCitation":"[8]"},"citationItems":[{"id":61,"uris":["http://zotero.org/users/605324/items/ZFSGC3XF"],"uri":["http://zotero.org/users/605324/items/ZFSGC3XF"],"itemData":{"id":61,"type":"webpage","title":"American Housing Survey (AHS), h150 series","URL":"http://www.census.gov/programs-surveys/ahs/","note":"ex-link: http://www.census.gov/housing/ahs/publications/h150.html","author":[{"family":"U.S. Census Bureau","given":""}],"accessed":{"date-parts":[["2015",5,7]]}}}],"schema":"https://github.com/citation-style-language/schema/raw/master/csl-citation.json"} </w:instrText>
      </w:r>
      <w:r w:rsidR="00C86FF9" w:rsidRPr="004B04FD">
        <w:rPr>
          <w:rFonts w:ascii="Arial" w:hAnsi="Arial" w:cs="Arial"/>
        </w:rPr>
        <w:fldChar w:fldCharType="separate"/>
      </w:r>
      <w:r w:rsidR="00882F79" w:rsidRPr="004B04FD">
        <w:rPr>
          <w:rFonts w:ascii="Arial" w:hAnsi="Arial" w:cs="Arial"/>
        </w:rPr>
        <w:t>[8]</w:t>
      </w:r>
      <w:r w:rsidR="00C86FF9" w:rsidRPr="004B04FD">
        <w:rPr>
          <w:rFonts w:ascii="Arial" w:hAnsi="Arial" w:cs="Arial"/>
        </w:rPr>
        <w:fldChar w:fldCharType="end"/>
      </w:r>
      <w:r w:rsidR="005943C8" w:rsidRPr="004B04FD">
        <w:rPr>
          <w:rFonts w:ascii="Arial" w:hAnsi="Arial" w:cs="Arial"/>
        </w:rPr>
        <w:t xml:space="preserve"> for 1973-1983 provides annual data</w:t>
      </w:r>
      <w:r w:rsidRPr="004B04FD">
        <w:rPr>
          <w:rFonts w:ascii="Arial" w:hAnsi="Arial" w:cs="Arial"/>
        </w:rPr>
        <w:t xml:space="preserve"> (with the excep</w:t>
      </w:r>
      <w:r w:rsidR="004A28ED" w:rsidRPr="004B04FD">
        <w:rPr>
          <w:rFonts w:ascii="Arial" w:hAnsi="Arial" w:cs="Arial"/>
        </w:rPr>
        <w:t>tion of 1982, for which there are</w:t>
      </w:r>
      <w:r w:rsidRPr="004B04FD">
        <w:rPr>
          <w:rFonts w:ascii="Arial" w:hAnsi="Arial" w:cs="Arial"/>
        </w:rPr>
        <w:t xml:space="preserve"> no data)</w:t>
      </w:r>
      <w:r w:rsidR="005943C8" w:rsidRPr="004B04FD">
        <w:rPr>
          <w:rFonts w:ascii="Arial" w:hAnsi="Arial" w:cs="Arial"/>
        </w:rPr>
        <w:t>, while the HUD 1973-1989 Housing Tren</w:t>
      </w:r>
      <w:r w:rsidR="004A28ED" w:rsidRPr="004B04FD">
        <w:rPr>
          <w:rFonts w:ascii="Arial" w:hAnsi="Arial" w:cs="Arial"/>
        </w:rPr>
        <w:t>ds provide</w:t>
      </w:r>
      <w:r w:rsidR="005943C8" w:rsidRPr="004B04FD">
        <w:rPr>
          <w:rFonts w:ascii="Arial" w:hAnsi="Arial" w:cs="Arial"/>
        </w:rPr>
        <w:t xml:space="preserve"> data </w:t>
      </w:r>
      <w:r w:rsidR="002D21D2" w:rsidRPr="004B04FD">
        <w:rPr>
          <w:rFonts w:ascii="Arial" w:hAnsi="Arial" w:cs="Arial"/>
        </w:rPr>
        <w:t xml:space="preserve">only for odd years, but </w:t>
      </w:r>
      <w:r w:rsidR="005943C8" w:rsidRPr="004B04FD">
        <w:rPr>
          <w:rFonts w:ascii="Arial" w:hAnsi="Arial" w:cs="Arial"/>
        </w:rPr>
        <w:t>for a longer period.</w:t>
      </w:r>
      <w:r w:rsidR="003D0719" w:rsidRPr="004B04FD">
        <w:rPr>
          <w:rFonts w:ascii="Arial" w:hAnsi="Arial" w:cs="Arial"/>
        </w:rPr>
        <w:t xml:space="preserve"> T</w:t>
      </w:r>
      <w:r w:rsidR="005943C8" w:rsidRPr="004B04FD">
        <w:rPr>
          <w:rFonts w:ascii="Arial" w:hAnsi="Arial" w:cs="Arial"/>
        </w:rPr>
        <w:t>he</w:t>
      </w:r>
      <w:r w:rsidR="003D0719" w:rsidRPr="004B04FD">
        <w:rPr>
          <w:rFonts w:ascii="Arial" w:hAnsi="Arial" w:cs="Arial"/>
        </w:rPr>
        <w:t xml:space="preserve">se </w:t>
      </w:r>
      <w:r w:rsidR="00927035" w:rsidRPr="004B04FD">
        <w:rPr>
          <w:rFonts w:ascii="Arial" w:hAnsi="Arial" w:cs="Arial"/>
        </w:rPr>
        <w:t xml:space="preserve">datasets differ by less than 2%, due to differences in the SF attached units. We chose </w:t>
      </w:r>
      <w:r w:rsidR="00927035" w:rsidRPr="007077EC">
        <w:rPr>
          <w:rFonts w:ascii="Arial" w:hAnsi="Arial" w:cs="Arial"/>
        </w:rPr>
        <w:t xml:space="preserve">to use the longer </w:t>
      </w:r>
      <w:r w:rsidRPr="007077EC">
        <w:rPr>
          <w:rFonts w:ascii="Arial" w:hAnsi="Arial" w:cs="Arial"/>
        </w:rPr>
        <w:t xml:space="preserve">HUD </w:t>
      </w:r>
      <w:r w:rsidR="00927035" w:rsidRPr="007077EC">
        <w:rPr>
          <w:rFonts w:ascii="Arial" w:hAnsi="Arial" w:cs="Arial"/>
        </w:rPr>
        <w:t xml:space="preserve">dataset for the odd years, and for even years </w:t>
      </w:r>
      <w:r w:rsidR="00C02542" w:rsidRPr="007077EC">
        <w:rPr>
          <w:rFonts w:ascii="Arial" w:hAnsi="Arial" w:cs="Arial"/>
        </w:rPr>
        <w:t xml:space="preserve">up to 1978 </w:t>
      </w:r>
      <w:r w:rsidRPr="007077EC">
        <w:rPr>
          <w:rFonts w:ascii="Arial" w:hAnsi="Arial" w:cs="Arial"/>
        </w:rPr>
        <w:t xml:space="preserve">we used the </w:t>
      </w:r>
      <w:r w:rsidR="00AA2257" w:rsidRPr="007077EC">
        <w:rPr>
          <w:rFonts w:ascii="Arial" w:hAnsi="Arial" w:cs="Arial"/>
        </w:rPr>
        <w:t>USCB</w:t>
      </w:r>
      <w:r w:rsidR="00927035" w:rsidRPr="007077EC">
        <w:rPr>
          <w:rFonts w:ascii="Arial" w:hAnsi="Arial" w:cs="Arial"/>
        </w:rPr>
        <w:t xml:space="preserve"> series with an adjustment to the SF attached data.</w:t>
      </w:r>
      <w:r w:rsidRPr="007077EC">
        <w:rPr>
          <w:rFonts w:ascii="Arial" w:hAnsi="Arial" w:cs="Arial"/>
        </w:rPr>
        <w:t xml:space="preserve"> Stock for even years 1980-1988 was interpolated.</w:t>
      </w:r>
    </w:p>
    <w:p w:rsidR="00204DB0" w:rsidRPr="007077EC" w:rsidRDefault="00912923" w:rsidP="001179DC">
      <w:pPr>
        <w:jc w:val="both"/>
        <w:rPr>
          <w:rFonts w:ascii="Arial" w:hAnsi="Arial" w:cs="Arial"/>
        </w:rPr>
      </w:pPr>
      <w:r w:rsidRPr="007077EC">
        <w:rPr>
          <w:rFonts w:ascii="Arial" w:hAnsi="Arial" w:cs="Arial"/>
        </w:rPr>
        <w:t xml:space="preserve">There are several inconsistencies in the data for the 1970s and 1980s which we did not attempt to resolve. First, the HUD and </w:t>
      </w:r>
      <w:r w:rsidR="00AA2257" w:rsidRPr="007077EC">
        <w:rPr>
          <w:rFonts w:ascii="Arial" w:hAnsi="Arial" w:cs="Arial"/>
        </w:rPr>
        <w:t>USCB</w:t>
      </w:r>
      <w:r w:rsidRPr="007077EC">
        <w:rPr>
          <w:rFonts w:ascii="Arial" w:hAnsi="Arial" w:cs="Arial"/>
        </w:rPr>
        <w:t xml:space="preserve"> sources use different sample weights in the 1970s (see 1973-1989 Housing Trends). Second, </w:t>
      </w:r>
      <w:r w:rsidR="00204DB0" w:rsidRPr="007077EC">
        <w:rPr>
          <w:rFonts w:ascii="Arial" w:hAnsi="Arial" w:cs="Arial"/>
        </w:rPr>
        <w:t xml:space="preserve">in 1985 there was a change in sampling methodology, based on use of the 1980 </w:t>
      </w:r>
      <w:r w:rsidR="00882F79" w:rsidRPr="007077EC">
        <w:rPr>
          <w:rFonts w:ascii="Arial" w:hAnsi="Arial" w:cs="Arial"/>
        </w:rPr>
        <w:t>D</w:t>
      </w:r>
      <w:r w:rsidR="00204DB0" w:rsidRPr="007077EC">
        <w:rPr>
          <w:rFonts w:ascii="Arial" w:hAnsi="Arial" w:cs="Arial"/>
        </w:rPr>
        <w:t>ecennial Census data. At this time, the Annual</w:t>
      </w:r>
      <w:r w:rsidR="00D9478B" w:rsidRPr="007077EC">
        <w:rPr>
          <w:rFonts w:ascii="Arial" w:hAnsi="Arial" w:cs="Arial"/>
        </w:rPr>
        <w:t xml:space="preserve"> Housing Survey became the </w:t>
      </w:r>
      <w:r w:rsidR="00204DB0" w:rsidRPr="007077EC">
        <w:rPr>
          <w:rFonts w:ascii="Arial" w:hAnsi="Arial" w:cs="Arial"/>
        </w:rPr>
        <w:t>American Housing Survey. As a result, the 1973-1983 data are not consistent with data reported after 19</w:t>
      </w:r>
      <w:r w:rsidR="00D9478B" w:rsidRPr="007077EC">
        <w:rPr>
          <w:rFonts w:ascii="Arial" w:hAnsi="Arial" w:cs="Arial"/>
        </w:rPr>
        <w:t>85</w:t>
      </w:r>
      <w:r w:rsidR="00204DB0" w:rsidRPr="007077EC">
        <w:rPr>
          <w:rFonts w:ascii="Arial" w:hAnsi="Arial" w:cs="Arial"/>
        </w:rPr>
        <w:t>.</w:t>
      </w:r>
    </w:p>
    <w:p w:rsidR="00B477CD" w:rsidRPr="007077EC" w:rsidRDefault="00B477CD" w:rsidP="001179DC">
      <w:pPr>
        <w:pStyle w:val="Heading4"/>
        <w:jc w:val="both"/>
        <w:rPr>
          <w:rFonts w:ascii="Arial" w:hAnsi="Arial" w:cs="Arial"/>
          <w:color w:val="auto"/>
        </w:rPr>
      </w:pPr>
      <w:r w:rsidRPr="007077EC">
        <w:rPr>
          <w:rFonts w:ascii="Arial" w:hAnsi="Arial" w:cs="Arial"/>
          <w:color w:val="auto"/>
        </w:rPr>
        <w:t>1991-2011</w:t>
      </w:r>
    </w:p>
    <w:p w:rsidR="006F3270" w:rsidRPr="007077EC" w:rsidRDefault="004A28ED" w:rsidP="001179DC">
      <w:pPr>
        <w:jc w:val="both"/>
        <w:rPr>
          <w:rFonts w:ascii="Arial" w:hAnsi="Arial" w:cs="Arial"/>
        </w:rPr>
      </w:pPr>
      <w:r w:rsidRPr="007077EC">
        <w:rPr>
          <w:rFonts w:ascii="Arial" w:hAnsi="Arial" w:cs="Arial"/>
        </w:rPr>
        <w:t>The data for odd years are</w:t>
      </w:r>
      <w:r w:rsidR="006F3270" w:rsidRPr="007077EC">
        <w:rPr>
          <w:rFonts w:ascii="Arial" w:hAnsi="Arial" w:cs="Arial"/>
        </w:rPr>
        <w:t xml:space="preserve"> available from the AHS.</w:t>
      </w:r>
    </w:p>
    <w:p w:rsidR="006F3270" w:rsidRPr="007077EC" w:rsidRDefault="004B04FD" w:rsidP="001179DC">
      <w:pPr>
        <w:jc w:val="both"/>
        <w:rPr>
          <w:rFonts w:ascii="Arial" w:eastAsia="Times New Roman" w:hAnsi="Arial" w:cs="Arial"/>
        </w:rPr>
      </w:pPr>
      <w:r w:rsidRPr="007077EC">
        <w:rPr>
          <w:rFonts w:ascii="Arial" w:eastAsia="Times New Roman" w:hAnsi="Arial" w:cs="Arial"/>
        </w:rPr>
        <w:t xml:space="preserve">For 1997, 1999, 2001, 2003, 2005, 2007, 2009, </w:t>
      </w:r>
      <w:proofErr w:type="gramStart"/>
      <w:r w:rsidRPr="007077EC">
        <w:rPr>
          <w:rFonts w:ascii="Arial" w:eastAsia="Times New Roman" w:hAnsi="Arial" w:cs="Arial"/>
        </w:rPr>
        <w:t>2011</w:t>
      </w:r>
      <w:proofErr w:type="gramEnd"/>
      <w:r w:rsidRPr="007077EC">
        <w:rPr>
          <w:rFonts w:ascii="Arial" w:eastAsia="Times New Roman" w:hAnsi="Arial" w:cs="Arial"/>
        </w:rPr>
        <w:t>:</w:t>
      </w:r>
    </w:p>
    <w:p w:rsidR="004B04FD" w:rsidRPr="007077EC" w:rsidRDefault="004B04FD" w:rsidP="001179DC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7077EC">
        <w:rPr>
          <w:rFonts w:ascii="Arial" w:eastAsia="Times New Roman" w:hAnsi="Arial" w:cs="Arial"/>
        </w:rPr>
        <w:t>http://www.census.gov/housing/ahs/data/national.html</w:t>
      </w:r>
    </w:p>
    <w:p w:rsidR="004B04FD" w:rsidRPr="007077EC" w:rsidRDefault="004B04FD" w:rsidP="001179DC">
      <w:pPr>
        <w:jc w:val="both"/>
        <w:rPr>
          <w:rFonts w:ascii="Arial" w:eastAsia="Times New Roman" w:hAnsi="Arial" w:cs="Arial"/>
        </w:rPr>
      </w:pPr>
      <w:r w:rsidRPr="007077EC">
        <w:rPr>
          <w:rFonts w:ascii="Arial" w:eastAsia="Times New Roman" w:hAnsi="Arial" w:cs="Arial"/>
        </w:rPr>
        <w:t xml:space="preserve">For 1985, 1987, 1989, 1991, 1993, </w:t>
      </w:r>
      <w:proofErr w:type="gramStart"/>
      <w:r w:rsidRPr="007077EC">
        <w:rPr>
          <w:rFonts w:ascii="Arial" w:eastAsia="Times New Roman" w:hAnsi="Arial" w:cs="Arial"/>
        </w:rPr>
        <w:t>1995</w:t>
      </w:r>
      <w:proofErr w:type="gramEnd"/>
      <w:r w:rsidRPr="007077EC">
        <w:rPr>
          <w:rFonts w:ascii="Arial" w:eastAsia="Times New Roman" w:hAnsi="Arial" w:cs="Arial"/>
        </w:rPr>
        <w:t>:</w:t>
      </w:r>
    </w:p>
    <w:p w:rsidR="004B04FD" w:rsidRPr="007077EC" w:rsidRDefault="005A271F" w:rsidP="001179DC">
      <w:pPr>
        <w:numPr>
          <w:ilvl w:val="0"/>
          <w:numId w:val="36"/>
        </w:numPr>
        <w:jc w:val="both"/>
        <w:rPr>
          <w:rFonts w:ascii="Arial" w:eastAsia="Times New Roman" w:hAnsi="Arial" w:cs="Arial"/>
        </w:rPr>
      </w:pPr>
      <w:hyperlink r:id="rId9" w:history="1">
        <w:r w:rsidR="004B04FD" w:rsidRPr="007077EC">
          <w:rPr>
            <w:rStyle w:val="Hyperlink"/>
            <w:rFonts w:ascii="Arial" w:eastAsia="Times New Roman" w:hAnsi="Arial" w:cs="Arial"/>
            <w:color w:val="auto"/>
            <w:u w:val="none"/>
          </w:rPr>
          <w:t>http://www.census.gov/housing/ahs/publications/historical.html</w:t>
        </w:r>
      </w:hyperlink>
    </w:p>
    <w:p w:rsidR="004B04FD" w:rsidRPr="007077EC" w:rsidRDefault="004B04FD" w:rsidP="001179DC">
      <w:pPr>
        <w:jc w:val="both"/>
        <w:rPr>
          <w:rFonts w:ascii="Arial" w:eastAsia="Times New Roman" w:hAnsi="Arial" w:cs="Arial"/>
        </w:rPr>
      </w:pPr>
      <w:r w:rsidRPr="007077EC">
        <w:rPr>
          <w:rFonts w:ascii="Arial" w:eastAsia="Times New Roman" w:hAnsi="Arial" w:cs="Arial"/>
        </w:rPr>
        <w:t xml:space="preserve">For 1973, 1977, 1979, 1981, </w:t>
      </w:r>
      <w:proofErr w:type="gramStart"/>
      <w:r w:rsidRPr="007077EC">
        <w:rPr>
          <w:rFonts w:ascii="Arial" w:eastAsia="Times New Roman" w:hAnsi="Arial" w:cs="Arial"/>
        </w:rPr>
        <w:t>1983</w:t>
      </w:r>
      <w:proofErr w:type="gramEnd"/>
      <w:r w:rsidRPr="007077EC">
        <w:rPr>
          <w:rFonts w:ascii="Arial" w:eastAsia="Times New Roman" w:hAnsi="Arial" w:cs="Arial"/>
        </w:rPr>
        <w:t>:</w:t>
      </w:r>
    </w:p>
    <w:p w:rsidR="004B04FD" w:rsidRPr="007077EC" w:rsidRDefault="004B04FD" w:rsidP="001179DC">
      <w:pPr>
        <w:numPr>
          <w:ilvl w:val="0"/>
          <w:numId w:val="36"/>
        </w:numPr>
        <w:jc w:val="both"/>
        <w:rPr>
          <w:rFonts w:ascii="Arial" w:eastAsia="Times New Roman" w:hAnsi="Arial" w:cs="Arial"/>
        </w:rPr>
      </w:pPr>
      <w:r w:rsidRPr="007077EC">
        <w:rPr>
          <w:rFonts w:ascii="Arial" w:eastAsia="Times New Roman" w:hAnsi="Arial" w:cs="Arial"/>
        </w:rPr>
        <w:t>http://www.census.gov/housing/ahs/publications/h150.html</w:t>
      </w:r>
    </w:p>
    <w:p w:rsidR="00C17E75" w:rsidRDefault="00C17E75" w:rsidP="001179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bookmarkStart w:id="1" w:name="_GoBack"/>
      <w:bookmarkEnd w:id="1"/>
    </w:p>
    <w:p w:rsidR="00D9478B" w:rsidRDefault="00556611" w:rsidP="001179DC">
      <w:pPr>
        <w:pStyle w:val="Heading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7077EC">
        <w:rPr>
          <w:rFonts w:ascii="Arial" w:hAnsi="Arial" w:cs="Arial"/>
          <w:color w:val="auto"/>
          <w:sz w:val="22"/>
          <w:szCs w:val="22"/>
        </w:rPr>
        <w:lastRenderedPageBreak/>
        <w:t>Time-series</w:t>
      </w:r>
      <w:r w:rsidR="00C17E75">
        <w:rPr>
          <w:rFonts w:ascii="Arial" w:hAnsi="Arial" w:cs="Arial"/>
          <w:color w:val="auto"/>
          <w:sz w:val="22"/>
          <w:szCs w:val="22"/>
        </w:rPr>
        <w:t xml:space="preserve"> -</w:t>
      </w:r>
      <w:r w:rsidR="00C17E75" w:rsidRPr="00C17E7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0E2D11" w:rsidRPr="00C17E75">
        <w:rPr>
          <w:rFonts w:ascii="Arial" w:hAnsi="Arial" w:cs="Arial"/>
          <w:b w:val="0"/>
          <w:color w:val="auto"/>
          <w:sz w:val="22"/>
          <w:szCs w:val="22"/>
        </w:rPr>
        <w:t xml:space="preserve">The </w:t>
      </w:r>
      <w:r w:rsidR="008F3C09" w:rsidRPr="00C17E75">
        <w:rPr>
          <w:rFonts w:ascii="Arial" w:hAnsi="Arial" w:cs="Arial"/>
          <w:b w:val="0"/>
          <w:color w:val="auto"/>
          <w:sz w:val="22"/>
          <w:szCs w:val="22"/>
        </w:rPr>
        <w:t xml:space="preserve">stock </w:t>
      </w:r>
      <w:r w:rsidR="001179DC">
        <w:rPr>
          <w:rFonts w:ascii="Arial" w:hAnsi="Arial" w:cs="Arial"/>
          <w:b w:val="0"/>
          <w:color w:val="auto"/>
          <w:sz w:val="22"/>
          <w:szCs w:val="22"/>
        </w:rPr>
        <w:t xml:space="preserve">time-series shown </w:t>
      </w:r>
      <w:r w:rsidR="00882F79" w:rsidRPr="00C17E75">
        <w:rPr>
          <w:rFonts w:ascii="Arial" w:hAnsi="Arial" w:cs="Arial"/>
          <w:b w:val="0"/>
          <w:color w:val="auto"/>
          <w:sz w:val="22"/>
          <w:szCs w:val="22"/>
        </w:rPr>
        <w:t>were</w:t>
      </w:r>
      <w:r w:rsidR="000E2D11" w:rsidRPr="00C17E7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9040F" w:rsidRPr="00C17E75">
        <w:rPr>
          <w:rFonts w:ascii="Arial" w:hAnsi="Arial" w:cs="Arial"/>
          <w:b w:val="0"/>
          <w:color w:val="auto"/>
          <w:sz w:val="22"/>
          <w:szCs w:val="22"/>
        </w:rPr>
        <w:t xml:space="preserve">derived </w:t>
      </w:r>
      <w:r w:rsidR="000E2D11" w:rsidRPr="00C17E75">
        <w:rPr>
          <w:rFonts w:ascii="Arial" w:hAnsi="Arial" w:cs="Arial"/>
          <w:b w:val="0"/>
          <w:color w:val="auto"/>
          <w:sz w:val="22"/>
          <w:szCs w:val="22"/>
        </w:rPr>
        <w:t xml:space="preserve">based on the original survey data. </w:t>
      </w:r>
    </w:p>
    <w:p w:rsidR="001179DC" w:rsidRDefault="001179DC" w:rsidP="001179DC">
      <w:pPr>
        <w:pStyle w:val="Caption"/>
        <w:keepNext/>
        <w:rPr>
          <w:rFonts w:ascii="Arial" w:hAnsi="Arial" w:cs="Arial"/>
          <w:color w:val="auto"/>
          <w:sz w:val="22"/>
          <w:szCs w:val="22"/>
        </w:rPr>
      </w:pPr>
      <w:bookmarkStart w:id="2" w:name="_Ref390420783"/>
      <w:bookmarkStart w:id="3" w:name="_Toc421781017"/>
    </w:p>
    <w:p w:rsidR="005A6036" w:rsidRPr="00163AE8" w:rsidRDefault="00962070" w:rsidP="001179DC">
      <w:pPr>
        <w:pStyle w:val="Caption"/>
        <w:keepNext/>
        <w:rPr>
          <w:rFonts w:ascii="Arial" w:hAnsi="Arial" w:cs="Arial"/>
          <w:color w:val="auto"/>
          <w:sz w:val="22"/>
          <w:szCs w:val="22"/>
        </w:rPr>
      </w:pPr>
      <w:r w:rsidRPr="00163AE8">
        <w:rPr>
          <w:rFonts w:ascii="Arial" w:hAnsi="Arial" w:cs="Arial"/>
          <w:color w:val="auto"/>
          <w:sz w:val="22"/>
          <w:szCs w:val="22"/>
        </w:rPr>
        <w:t xml:space="preserve">Table </w:t>
      </w:r>
      <w:bookmarkEnd w:id="2"/>
      <w:r w:rsidR="002435FA">
        <w:rPr>
          <w:rFonts w:ascii="Arial" w:hAnsi="Arial" w:cs="Arial"/>
          <w:color w:val="auto"/>
          <w:sz w:val="22"/>
          <w:szCs w:val="22"/>
        </w:rPr>
        <w:t xml:space="preserve">B. </w:t>
      </w:r>
      <w:r w:rsidRPr="00163AE8">
        <w:rPr>
          <w:rFonts w:ascii="Arial" w:hAnsi="Arial" w:cs="Arial"/>
          <w:color w:val="auto"/>
          <w:sz w:val="22"/>
          <w:szCs w:val="22"/>
        </w:rPr>
        <w:t>Data source for number of housing units for 3 building types, 1891-2010</w:t>
      </w:r>
      <w:bookmarkEnd w:id="3"/>
    </w:p>
    <w:p w:rsidR="005A6036" w:rsidRPr="00882F79" w:rsidRDefault="00803B04" w:rsidP="00803B04">
      <w:pPr>
        <w:jc w:val="center"/>
      </w:pPr>
      <w:r w:rsidRPr="00EB5AF5">
        <w:rPr>
          <w:noProof/>
        </w:rPr>
        <w:drawing>
          <wp:inline distT="0" distB="0" distL="0" distR="0">
            <wp:extent cx="3063240" cy="7388352"/>
            <wp:effectExtent l="0" t="0" r="381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738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D28" w:rsidRPr="00882F79" w:rsidRDefault="00464D28"/>
    <w:p w:rsidR="00803B04" w:rsidRPr="00882F79" w:rsidRDefault="00803B04" w:rsidP="00803B04">
      <w:pPr>
        <w:jc w:val="center"/>
      </w:pPr>
      <w:r w:rsidRPr="00EB5AF5">
        <w:rPr>
          <w:noProof/>
        </w:rPr>
        <w:drawing>
          <wp:inline distT="0" distB="0" distL="0" distR="0" wp14:anchorId="119014ED" wp14:editId="5F7F707B">
            <wp:extent cx="2825496" cy="7388352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96" cy="738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04" w:rsidRPr="00882F79" w:rsidRDefault="00803B04"/>
    <w:sectPr w:rsidR="00803B04" w:rsidRPr="00882F79" w:rsidSect="007162C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1F" w:rsidRDefault="005A271F" w:rsidP="000A6723">
      <w:pPr>
        <w:spacing w:after="0" w:line="240" w:lineRule="auto"/>
      </w:pPr>
      <w:r>
        <w:separator/>
      </w:r>
    </w:p>
  </w:endnote>
  <w:endnote w:type="continuationSeparator" w:id="0">
    <w:p w:rsidR="005A271F" w:rsidRDefault="005A271F" w:rsidP="000A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F2" w:rsidRDefault="00B04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1F" w:rsidRDefault="005A271F" w:rsidP="000A6723">
      <w:pPr>
        <w:spacing w:after="0" w:line="240" w:lineRule="auto"/>
      </w:pPr>
      <w:r>
        <w:separator/>
      </w:r>
    </w:p>
  </w:footnote>
  <w:footnote w:type="continuationSeparator" w:id="0">
    <w:p w:rsidR="005A271F" w:rsidRDefault="005A271F" w:rsidP="000A6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657"/>
    <w:multiLevelType w:val="hybridMultilevel"/>
    <w:tmpl w:val="3B767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603C"/>
    <w:multiLevelType w:val="hybridMultilevel"/>
    <w:tmpl w:val="906E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A6DB3"/>
    <w:multiLevelType w:val="hybridMultilevel"/>
    <w:tmpl w:val="6EC0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F2A"/>
    <w:multiLevelType w:val="hybridMultilevel"/>
    <w:tmpl w:val="B038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128D8"/>
    <w:multiLevelType w:val="hybridMultilevel"/>
    <w:tmpl w:val="2C447C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CF7C7A"/>
    <w:multiLevelType w:val="hybridMultilevel"/>
    <w:tmpl w:val="3D6A7844"/>
    <w:lvl w:ilvl="0" w:tplc="EAD470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C6363F5"/>
    <w:multiLevelType w:val="multilevel"/>
    <w:tmpl w:val="07602A1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18E3294"/>
    <w:multiLevelType w:val="hybridMultilevel"/>
    <w:tmpl w:val="71041412"/>
    <w:lvl w:ilvl="0" w:tplc="EE1A2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6768D"/>
    <w:multiLevelType w:val="hybridMultilevel"/>
    <w:tmpl w:val="3F08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473C1"/>
    <w:multiLevelType w:val="hybridMultilevel"/>
    <w:tmpl w:val="2A52E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7E6451"/>
    <w:multiLevelType w:val="hybridMultilevel"/>
    <w:tmpl w:val="A5C0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77441F"/>
    <w:multiLevelType w:val="hybridMultilevel"/>
    <w:tmpl w:val="089803C2"/>
    <w:lvl w:ilvl="0" w:tplc="EC645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9336C"/>
    <w:multiLevelType w:val="hybridMultilevel"/>
    <w:tmpl w:val="3D6A7844"/>
    <w:lvl w:ilvl="0" w:tplc="EAD470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AE2323"/>
    <w:multiLevelType w:val="hybridMultilevel"/>
    <w:tmpl w:val="F936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24896"/>
    <w:multiLevelType w:val="hybridMultilevel"/>
    <w:tmpl w:val="DDEC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D303C"/>
    <w:multiLevelType w:val="hybridMultilevel"/>
    <w:tmpl w:val="72D28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E0950"/>
    <w:multiLevelType w:val="hybridMultilevel"/>
    <w:tmpl w:val="CDFE0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987B21"/>
    <w:multiLevelType w:val="hybridMultilevel"/>
    <w:tmpl w:val="BD76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876D4"/>
    <w:multiLevelType w:val="hybridMultilevel"/>
    <w:tmpl w:val="D286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005F9"/>
    <w:multiLevelType w:val="hybridMultilevel"/>
    <w:tmpl w:val="BB229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A0141"/>
    <w:multiLevelType w:val="multilevel"/>
    <w:tmpl w:val="157A6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5C25FA8"/>
    <w:multiLevelType w:val="hybridMultilevel"/>
    <w:tmpl w:val="3D6A7844"/>
    <w:lvl w:ilvl="0" w:tplc="EAD470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807055D"/>
    <w:multiLevelType w:val="hybridMultilevel"/>
    <w:tmpl w:val="D5FA9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52A11"/>
    <w:multiLevelType w:val="hybridMultilevel"/>
    <w:tmpl w:val="2DB27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F03B7"/>
    <w:multiLevelType w:val="multilevel"/>
    <w:tmpl w:val="6C86BB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E92786F"/>
    <w:multiLevelType w:val="hybridMultilevel"/>
    <w:tmpl w:val="3B767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B11A5"/>
    <w:multiLevelType w:val="hybridMultilevel"/>
    <w:tmpl w:val="255A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A1253"/>
    <w:multiLevelType w:val="hybridMultilevel"/>
    <w:tmpl w:val="40FC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A73CB"/>
    <w:multiLevelType w:val="hybridMultilevel"/>
    <w:tmpl w:val="3B767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545B3"/>
    <w:multiLevelType w:val="hybridMultilevel"/>
    <w:tmpl w:val="3D6A7844"/>
    <w:lvl w:ilvl="0" w:tplc="EAD470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25E6AF7"/>
    <w:multiLevelType w:val="hybridMultilevel"/>
    <w:tmpl w:val="8580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A59E0"/>
    <w:multiLevelType w:val="hybridMultilevel"/>
    <w:tmpl w:val="8580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F13B9"/>
    <w:multiLevelType w:val="hybridMultilevel"/>
    <w:tmpl w:val="671A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A2E3D"/>
    <w:multiLevelType w:val="multilevel"/>
    <w:tmpl w:val="8BCE08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0163F2E"/>
    <w:multiLevelType w:val="multilevel"/>
    <w:tmpl w:val="8BCE08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3456D97"/>
    <w:multiLevelType w:val="hybridMultilevel"/>
    <w:tmpl w:val="DF926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BF16AB"/>
    <w:multiLevelType w:val="hybridMultilevel"/>
    <w:tmpl w:val="81D8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E4B41"/>
    <w:multiLevelType w:val="multilevel"/>
    <w:tmpl w:val="8BCE08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7C592F7C"/>
    <w:multiLevelType w:val="hybridMultilevel"/>
    <w:tmpl w:val="8580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B271B"/>
    <w:multiLevelType w:val="hybridMultilevel"/>
    <w:tmpl w:val="E6B44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7F25B2"/>
    <w:multiLevelType w:val="hybridMultilevel"/>
    <w:tmpl w:val="B03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D5DAF"/>
    <w:multiLevelType w:val="multilevel"/>
    <w:tmpl w:val="8762346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1"/>
  </w:num>
  <w:num w:numId="2">
    <w:abstractNumId w:val="18"/>
  </w:num>
  <w:num w:numId="3">
    <w:abstractNumId w:val="30"/>
  </w:num>
  <w:num w:numId="4">
    <w:abstractNumId w:val="39"/>
  </w:num>
  <w:num w:numId="5">
    <w:abstractNumId w:val="27"/>
  </w:num>
  <w:num w:numId="6">
    <w:abstractNumId w:val="9"/>
  </w:num>
  <w:num w:numId="7">
    <w:abstractNumId w:val="15"/>
  </w:num>
  <w:num w:numId="8">
    <w:abstractNumId w:val="4"/>
  </w:num>
  <w:num w:numId="9">
    <w:abstractNumId w:val="36"/>
  </w:num>
  <w:num w:numId="10">
    <w:abstractNumId w:val="35"/>
  </w:num>
  <w:num w:numId="11">
    <w:abstractNumId w:val="20"/>
  </w:num>
  <w:num w:numId="12">
    <w:abstractNumId w:val="32"/>
  </w:num>
  <w:num w:numId="13">
    <w:abstractNumId w:val="38"/>
  </w:num>
  <w:num w:numId="14">
    <w:abstractNumId w:val="21"/>
  </w:num>
  <w:num w:numId="15">
    <w:abstractNumId w:val="28"/>
  </w:num>
  <w:num w:numId="16">
    <w:abstractNumId w:val="29"/>
  </w:num>
  <w:num w:numId="17">
    <w:abstractNumId w:val="26"/>
  </w:num>
  <w:num w:numId="18">
    <w:abstractNumId w:val="19"/>
  </w:num>
  <w:num w:numId="19">
    <w:abstractNumId w:val="10"/>
  </w:num>
  <w:num w:numId="20">
    <w:abstractNumId w:val="2"/>
  </w:num>
  <w:num w:numId="21">
    <w:abstractNumId w:val="22"/>
  </w:num>
  <w:num w:numId="22">
    <w:abstractNumId w:val="5"/>
  </w:num>
  <w:num w:numId="23">
    <w:abstractNumId w:val="8"/>
  </w:num>
  <w:num w:numId="24">
    <w:abstractNumId w:val="17"/>
  </w:num>
  <w:num w:numId="25">
    <w:abstractNumId w:val="24"/>
  </w:num>
  <w:num w:numId="26">
    <w:abstractNumId w:val="12"/>
  </w:num>
  <w:num w:numId="27">
    <w:abstractNumId w:val="25"/>
  </w:num>
  <w:num w:numId="28">
    <w:abstractNumId w:val="0"/>
  </w:num>
  <w:num w:numId="29">
    <w:abstractNumId w:val="37"/>
  </w:num>
  <w:num w:numId="30">
    <w:abstractNumId w:val="41"/>
  </w:num>
  <w:num w:numId="31">
    <w:abstractNumId w:val="6"/>
  </w:num>
  <w:num w:numId="32">
    <w:abstractNumId w:val="1"/>
  </w:num>
  <w:num w:numId="33">
    <w:abstractNumId w:val="14"/>
  </w:num>
  <w:num w:numId="34">
    <w:abstractNumId w:val="16"/>
  </w:num>
  <w:num w:numId="35">
    <w:abstractNumId w:val="40"/>
  </w:num>
  <w:num w:numId="36">
    <w:abstractNumId w:val="13"/>
  </w:num>
  <w:num w:numId="37">
    <w:abstractNumId w:val="33"/>
  </w:num>
  <w:num w:numId="38">
    <w:abstractNumId w:val="34"/>
  </w:num>
  <w:num w:numId="39">
    <w:abstractNumId w:val="7"/>
  </w:num>
  <w:num w:numId="40">
    <w:abstractNumId w:val="11"/>
  </w:num>
  <w:num w:numId="41">
    <w:abstractNumId w:val="2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0A9"/>
    <w:rsid w:val="00011194"/>
    <w:rsid w:val="00012FE4"/>
    <w:rsid w:val="0001460E"/>
    <w:rsid w:val="00015CA0"/>
    <w:rsid w:val="000227AD"/>
    <w:rsid w:val="00036555"/>
    <w:rsid w:val="00037F2E"/>
    <w:rsid w:val="0004191D"/>
    <w:rsid w:val="000441D0"/>
    <w:rsid w:val="00050F32"/>
    <w:rsid w:val="0005119D"/>
    <w:rsid w:val="00054540"/>
    <w:rsid w:val="000548D1"/>
    <w:rsid w:val="00062400"/>
    <w:rsid w:val="00062EB4"/>
    <w:rsid w:val="00066401"/>
    <w:rsid w:val="0007035F"/>
    <w:rsid w:val="00070F77"/>
    <w:rsid w:val="00071917"/>
    <w:rsid w:val="000735FE"/>
    <w:rsid w:val="000738FC"/>
    <w:rsid w:val="00076BC4"/>
    <w:rsid w:val="00077219"/>
    <w:rsid w:val="00077262"/>
    <w:rsid w:val="00084D78"/>
    <w:rsid w:val="00090E8B"/>
    <w:rsid w:val="000931B8"/>
    <w:rsid w:val="000961E5"/>
    <w:rsid w:val="000A6723"/>
    <w:rsid w:val="000A7BDF"/>
    <w:rsid w:val="000B0349"/>
    <w:rsid w:val="000B1461"/>
    <w:rsid w:val="000B22C7"/>
    <w:rsid w:val="000C0D85"/>
    <w:rsid w:val="000D28EB"/>
    <w:rsid w:val="000D3D76"/>
    <w:rsid w:val="000E02D5"/>
    <w:rsid w:val="000E2D11"/>
    <w:rsid w:val="000E351F"/>
    <w:rsid w:val="000E3E42"/>
    <w:rsid w:val="000F301A"/>
    <w:rsid w:val="000F4236"/>
    <w:rsid w:val="000F7A41"/>
    <w:rsid w:val="00105F47"/>
    <w:rsid w:val="00110BD6"/>
    <w:rsid w:val="00111288"/>
    <w:rsid w:val="001179DC"/>
    <w:rsid w:val="001303A5"/>
    <w:rsid w:val="001337B5"/>
    <w:rsid w:val="00133F91"/>
    <w:rsid w:val="001407C8"/>
    <w:rsid w:val="001466D4"/>
    <w:rsid w:val="00147901"/>
    <w:rsid w:val="00147F79"/>
    <w:rsid w:val="0015070E"/>
    <w:rsid w:val="00152191"/>
    <w:rsid w:val="00156A86"/>
    <w:rsid w:val="0016021E"/>
    <w:rsid w:val="001608FE"/>
    <w:rsid w:val="00160C61"/>
    <w:rsid w:val="001617F3"/>
    <w:rsid w:val="00163AE8"/>
    <w:rsid w:val="00164D20"/>
    <w:rsid w:val="00165D80"/>
    <w:rsid w:val="00171937"/>
    <w:rsid w:val="001755EA"/>
    <w:rsid w:val="001757F7"/>
    <w:rsid w:val="00177A85"/>
    <w:rsid w:val="00181B2E"/>
    <w:rsid w:val="00181D54"/>
    <w:rsid w:val="00191885"/>
    <w:rsid w:val="0019279F"/>
    <w:rsid w:val="00196944"/>
    <w:rsid w:val="001972E5"/>
    <w:rsid w:val="001A2778"/>
    <w:rsid w:val="001A4324"/>
    <w:rsid w:val="001A5D23"/>
    <w:rsid w:val="001A7036"/>
    <w:rsid w:val="001B00A9"/>
    <w:rsid w:val="001B1C95"/>
    <w:rsid w:val="001B288D"/>
    <w:rsid w:val="001B3A18"/>
    <w:rsid w:val="001B591D"/>
    <w:rsid w:val="001B6349"/>
    <w:rsid w:val="001C0BD7"/>
    <w:rsid w:val="001C28DC"/>
    <w:rsid w:val="001C4CEC"/>
    <w:rsid w:val="001C71A8"/>
    <w:rsid w:val="001C779B"/>
    <w:rsid w:val="001D1F39"/>
    <w:rsid w:val="001E0110"/>
    <w:rsid w:val="001E2605"/>
    <w:rsid w:val="001E3E6B"/>
    <w:rsid w:val="001E46AD"/>
    <w:rsid w:val="001E6880"/>
    <w:rsid w:val="001F58EF"/>
    <w:rsid w:val="00200A08"/>
    <w:rsid w:val="00204DB0"/>
    <w:rsid w:val="00205CBD"/>
    <w:rsid w:val="00205E6F"/>
    <w:rsid w:val="002069D8"/>
    <w:rsid w:val="0021004F"/>
    <w:rsid w:val="00212957"/>
    <w:rsid w:val="0021353D"/>
    <w:rsid w:val="00214DEA"/>
    <w:rsid w:val="00227B5F"/>
    <w:rsid w:val="002346DD"/>
    <w:rsid w:val="0024253A"/>
    <w:rsid w:val="002435FA"/>
    <w:rsid w:val="00244834"/>
    <w:rsid w:val="002451D1"/>
    <w:rsid w:val="00251FBC"/>
    <w:rsid w:val="0025236E"/>
    <w:rsid w:val="002536B2"/>
    <w:rsid w:val="002541E2"/>
    <w:rsid w:val="0025461E"/>
    <w:rsid w:val="0026170E"/>
    <w:rsid w:val="00263F1F"/>
    <w:rsid w:val="00264601"/>
    <w:rsid w:val="00266646"/>
    <w:rsid w:val="002674CB"/>
    <w:rsid w:val="00270DDE"/>
    <w:rsid w:val="00273142"/>
    <w:rsid w:val="002763A3"/>
    <w:rsid w:val="0028531E"/>
    <w:rsid w:val="00287141"/>
    <w:rsid w:val="00291E95"/>
    <w:rsid w:val="0029484E"/>
    <w:rsid w:val="00296DC2"/>
    <w:rsid w:val="002970E5"/>
    <w:rsid w:val="002A005D"/>
    <w:rsid w:val="002A54E8"/>
    <w:rsid w:val="002B04C7"/>
    <w:rsid w:val="002B1C3A"/>
    <w:rsid w:val="002B2247"/>
    <w:rsid w:val="002C20A9"/>
    <w:rsid w:val="002C61C4"/>
    <w:rsid w:val="002C7649"/>
    <w:rsid w:val="002D0201"/>
    <w:rsid w:val="002D15A3"/>
    <w:rsid w:val="002D21D2"/>
    <w:rsid w:val="002D2951"/>
    <w:rsid w:val="002E2B8D"/>
    <w:rsid w:val="002E5DB4"/>
    <w:rsid w:val="002F25E8"/>
    <w:rsid w:val="002F7B56"/>
    <w:rsid w:val="003008B5"/>
    <w:rsid w:val="00305366"/>
    <w:rsid w:val="003129C2"/>
    <w:rsid w:val="00315354"/>
    <w:rsid w:val="00322807"/>
    <w:rsid w:val="00322D04"/>
    <w:rsid w:val="003248E6"/>
    <w:rsid w:val="00330931"/>
    <w:rsid w:val="003357B0"/>
    <w:rsid w:val="00335B89"/>
    <w:rsid w:val="00335FCE"/>
    <w:rsid w:val="00337D85"/>
    <w:rsid w:val="0034215C"/>
    <w:rsid w:val="00351133"/>
    <w:rsid w:val="0035194D"/>
    <w:rsid w:val="0035252A"/>
    <w:rsid w:val="00356961"/>
    <w:rsid w:val="0036136D"/>
    <w:rsid w:val="00362815"/>
    <w:rsid w:val="00365B00"/>
    <w:rsid w:val="00381059"/>
    <w:rsid w:val="003873B3"/>
    <w:rsid w:val="00397D34"/>
    <w:rsid w:val="003A4549"/>
    <w:rsid w:val="003A7A73"/>
    <w:rsid w:val="003B0778"/>
    <w:rsid w:val="003B0AC8"/>
    <w:rsid w:val="003B2185"/>
    <w:rsid w:val="003C4D90"/>
    <w:rsid w:val="003C51E3"/>
    <w:rsid w:val="003C54E5"/>
    <w:rsid w:val="003C7872"/>
    <w:rsid w:val="003D0719"/>
    <w:rsid w:val="003D39F5"/>
    <w:rsid w:val="003E04CB"/>
    <w:rsid w:val="003E0C2F"/>
    <w:rsid w:val="003E298F"/>
    <w:rsid w:val="003E49A1"/>
    <w:rsid w:val="003F2A3F"/>
    <w:rsid w:val="003F42EF"/>
    <w:rsid w:val="003F54FB"/>
    <w:rsid w:val="004018CC"/>
    <w:rsid w:val="00402444"/>
    <w:rsid w:val="00402BAE"/>
    <w:rsid w:val="004105B8"/>
    <w:rsid w:val="00414AF7"/>
    <w:rsid w:val="00421AC1"/>
    <w:rsid w:val="004335E0"/>
    <w:rsid w:val="0044085F"/>
    <w:rsid w:val="004440DF"/>
    <w:rsid w:val="004579B9"/>
    <w:rsid w:val="00457C06"/>
    <w:rsid w:val="004648C4"/>
    <w:rsid w:val="00464D28"/>
    <w:rsid w:val="004679CF"/>
    <w:rsid w:val="00473FD2"/>
    <w:rsid w:val="00480384"/>
    <w:rsid w:val="00482366"/>
    <w:rsid w:val="00484579"/>
    <w:rsid w:val="004872A9"/>
    <w:rsid w:val="00490380"/>
    <w:rsid w:val="00491EC3"/>
    <w:rsid w:val="004931CA"/>
    <w:rsid w:val="0049761C"/>
    <w:rsid w:val="004A28ED"/>
    <w:rsid w:val="004A317A"/>
    <w:rsid w:val="004A7549"/>
    <w:rsid w:val="004B04FD"/>
    <w:rsid w:val="004B225F"/>
    <w:rsid w:val="004B6C14"/>
    <w:rsid w:val="004C14BA"/>
    <w:rsid w:val="004C6100"/>
    <w:rsid w:val="004C63F2"/>
    <w:rsid w:val="004D1C28"/>
    <w:rsid w:val="004E0EEF"/>
    <w:rsid w:val="004E0FCA"/>
    <w:rsid w:val="004E318B"/>
    <w:rsid w:val="004F0226"/>
    <w:rsid w:val="004F2C3C"/>
    <w:rsid w:val="004F3428"/>
    <w:rsid w:val="004F4349"/>
    <w:rsid w:val="004F5347"/>
    <w:rsid w:val="004F77C3"/>
    <w:rsid w:val="0050505C"/>
    <w:rsid w:val="005100BB"/>
    <w:rsid w:val="005116A9"/>
    <w:rsid w:val="005126F1"/>
    <w:rsid w:val="005127D1"/>
    <w:rsid w:val="00527E7D"/>
    <w:rsid w:val="00530ADB"/>
    <w:rsid w:val="005524B7"/>
    <w:rsid w:val="00556611"/>
    <w:rsid w:val="00563EF1"/>
    <w:rsid w:val="00566215"/>
    <w:rsid w:val="00570128"/>
    <w:rsid w:val="005711A3"/>
    <w:rsid w:val="00571AC2"/>
    <w:rsid w:val="00572071"/>
    <w:rsid w:val="005738D6"/>
    <w:rsid w:val="00585D47"/>
    <w:rsid w:val="00586AAD"/>
    <w:rsid w:val="00591A04"/>
    <w:rsid w:val="005943C8"/>
    <w:rsid w:val="0059619A"/>
    <w:rsid w:val="005A271F"/>
    <w:rsid w:val="005A6036"/>
    <w:rsid w:val="005B4942"/>
    <w:rsid w:val="005C691A"/>
    <w:rsid w:val="005E571A"/>
    <w:rsid w:val="005F0465"/>
    <w:rsid w:val="005F1952"/>
    <w:rsid w:val="00600674"/>
    <w:rsid w:val="00603985"/>
    <w:rsid w:val="0060403D"/>
    <w:rsid w:val="0060469A"/>
    <w:rsid w:val="006064D3"/>
    <w:rsid w:val="00612684"/>
    <w:rsid w:val="00614B87"/>
    <w:rsid w:val="00617871"/>
    <w:rsid w:val="00627BA0"/>
    <w:rsid w:val="006331E2"/>
    <w:rsid w:val="00636790"/>
    <w:rsid w:val="006370CF"/>
    <w:rsid w:val="006442D0"/>
    <w:rsid w:val="006538E9"/>
    <w:rsid w:val="00656832"/>
    <w:rsid w:val="006569B6"/>
    <w:rsid w:val="00657E5F"/>
    <w:rsid w:val="00660989"/>
    <w:rsid w:val="00664B86"/>
    <w:rsid w:val="00665ADA"/>
    <w:rsid w:val="00665E18"/>
    <w:rsid w:val="00673192"/>
    <w:rsid w:val="006821C0"/>
    <w:rsid w:val="00690216"/>
    <w:rsid w:val="0069247C"/>
    <w:rsid w:val="00697EEA"/>
    <w:rsid w:val="006A5187"/>
    <w:rsid w:val="006A5AB0"/>
    <w:rsid w:val="006B0170"/>
    <w:rsid w:val="006B021F"/>
    <w:rsid w:val="006B1185"/>
    <w:rsid w:val="006B1A0F"/>
    <w:rsid w:val="006C2819"/>
    <w:rsid w:val="006C43AC"/>
    <w:rsid w:val="006C75BE"/>
    <w:rsid w:val="006D002A"/>
    <w:rsid w:val="006D02FE"/>
    <w:rsid w:val="006E0D2C"/>
    <w:rsid w:val="006E2FF1"/>
    <w:rsid w:val="006E701A"/>
    <w:rsid w:val="006F2E1A"/>
    <w:rsid w:val="006F3270"/>
    <w:rsid w:val="006F3338"/>
    <w:rsid w:val="006F685A"/>
    <w:rsid w:val="0070726B"/>
    <w:rsid w:val="007077EC"/>
    <w:rsid w:val="00711AA5"/>
    <w:rsid w:val="0071565B"/>
    <w:rsid w:val="007162CE"/>
    <w:rsid w:val="00717677"/>
    <w:rsid w:val="00717F86"/>
    <w:rsid w:val="0072157B"/>
    <w:rsid w:val="007236B4"/>
    <w:rsid w:val="00732F63"/>
    <w:rsid w:val="00737514"/>
    <w:rsid w:val="00755936"/>
    <w:rsid w:val="007574F7"/>
    <w:rsid w:val="00760BF6"/>
    <w:rsid w:val="0077083E"/>
    <w:rsid w:val="0077204A"/>
    <w:rsid w:val="00780E36"/>
    <w:rsid w:val="00785C8B"/>
    <w:rsid w:val="00787654"/>
    <w:rsid w:val="007950C6"/>
    <w:rsid w:val="007A4459"/>
    <w:rsid w:val="007A6549"/>
    <w:rsid w:val="007A7D9D"/>
    <w:rsid w:val="007C00DA"/>
    <w:rsid w:val="007C07FA"/>
    <w:rsid w:val="007C2E0F"/>
    <w:rsid w:val="007C69AC"/>
    <w:rsid w:val="007E1967"/>
    <w:rsid w:val="007E1DC1"/>
    <w:rsid w:val="007F0669"/>
    <w:rsid w:val="007F0B6F"/>
    <w:rsid w:val="00803B04"/>
    <w:rsid w:val="00803D5A"/>
    <w:rsid w:val="00812892"/>
    <w:rsid w:val="00820A9E"/>
    <w:rsid w:val="00834147"/>
    <w:rsid w:val="00836998"/>
    <w:rsid w:val="00837B92"/>
    <w:rsid w:val="0084152D"/>
    <w:rsid w:val="008430C6"/>
    <w:rsid w:val="00847CC8"/>
    <w:rsid w:val="008511B2"/>
    <w:rsid w:val="00851ADC"/>
    <w:rsid w:val="00852202"/>
    <w:rsid w:val="0085280D"/>
    <w:rsid w:val="00854671"/>
    <w:rsid w:val="008549D0"/>
    <w:rsid w:val="00856A79"/>
    <w:rsid w:val="00864B28"/>
    <w:rsid w:val="00864C93"/>
    <w:rsid w:val="00870E76"/>
    <w:rsid w:val="00872E25"/>
    <w:rsid w:val="00877863"/>
    <w:rsid w:val="00880534"/>
    <w:rsid w:val="00881201"/>
    <w:rsid w:val="008812A2"/>
    <w:rsid w:val="00882F79"/>
    <w:rsid w:val="00891CE0"/>
    <w:rsid w:val="00891E0E"/>
    <w:rsid w:val="0089213F"/>
    <w:rsid w:val="008954FE"/>
    <w:rsid w:val="00895798"/>
    <w:rsid w:val="00896591"/>
    <w:rsid w:val="00896EF7"/>
    <w:rsid w:val="008A136E"/>
    <w:rsid w:val="008A14C6"/>
    <w:rsid w:val="008A20C8"/>
    <w:rsid w:val="008B3F1D"/>
    <w:rsid w:val="008B4F5E"/>
    <w:rsid w:val="008C1AC2"/>
    <w:rsid w:val="008C1FB4"/>
    <w:rsid w:val="008C2816"/>
    <w:rsid w:val="008D1F19"/>
    <w:rsid w:val="008D4214"/>
    <w:rsid w:val="008D73AF"/>
    <w:rsid w:val="008E16DE"/>
    <w:rsid w:val="008E1E4E"/>
    <w:rsid w:val="008E45C1"/>
    <w:rsid w:val="008E73E0"/>
    <w:rsid w:val="008F02F1"/>
    <w:rsid w:val="008F0343"/>
    <w:rsid w:val="008F0CBA"/>
    <w:rsid w:val="008F3C09"/>
    <w:rsid w:val="0090286E"/>
    <w:rsid w:val="00912923"/>
    <w:rsid w:val="00912D88"/>
    <w:rsid w:val="0092010A"/>
    <w:rsid w:val="00922E1B"/>
    <w:rsid w:val="00923D0B"/>
    <w:rsid w:val="00927035"/>
    <w:rsid w:val="00933DDD"/>
    <w:rsid w:val="00941794"/>
    <w:rsid w:val="0094422F"/>
    <w:rsid w:val="00951241"/>
    <w:rsid w:val="0095435D"/>
    <w:rsid w:val="00962070"/>
    <w:rsid w:val="0096319E"/>
    <w:rsid w:val="00970983"/>
    <w:rsid w:val="00970F82"/>
    <w:rsid w:val="00972055"/>
    <w:rsid w:val="0097275D"/>
    <w:rsid w:val="009746B9"/>
    <w:rsid w:val="009826C2"/>
    <w:rsid w:val="00985CB8"/>
    <w:rsid w:val="00987C50"/>
    <w:rsid w:val="00990C8B"/>
    <w:rsid w:val="00993EDE"/>
    <w:rsid w:val="009A206B"/>
    <w:rsid w:val="009A38C6"/>
    <w:rsid w:val="009A5744"/>
    <w:rsid w:val="009A720D"/>
    <w:rsid w:val="009B1121"/>
    <w:rsid w:val="009B4343"/>
    <w:rsid w:val="009B4A59"/>
    <w:rsid w:val="009C1EA7"/>
    <w:rsid w:val="009C24AA"/>
    <w:rsid w:val="009D2F75"/>
    <w:rsid w:val="009D55EF"/>
    <w:rsid w:val="009D6DC8"/>
    <w:rsid w:val="009D7CD9"/>
    <w:rsid w:val="009E2E32"/>
    <w:rsid w:val="009E4417"/>
    <w:rsid w:val="009E7FF8"/>
    <w:rsid w:val="009F5E98"/>
    <w:rsid w:val="009F7373"/>
    <w:rsid w:val="00A01982"/>
    <w:rsid w:val="00A0246C"/>
    <w:rsid w:val="00A02B3C"/>
    <w:rsid w:val="00A04C3B"/>
    <w:rsid w:val="00A05333"/>
    <w:rsid w:val="00A072CA"/>
    <w:rsid w:val="00A162C2"/>
    <w:rsid w:val="00A16CDC"/>
    <w:rsid w:val="00A17A1F"/>
    <w:rsid w:val="00A20EDB"/>
    <w:rsid w:val="00A33537"/>
    <w:rsid w:val="00A337CC"/>
    <w:rsid w:val="00A410FF"/>
    <w:rsid w:val="00A459A6"/>
    <w:rsid w:val="00A527FE"/>
    <w:rsid w:val="00A53CD8"/>
    <w:rsid w:val="00A56828"/>
    <w:rsid w:val="00A56CB8"/>
    <w:rsid w:val="00A607EC"/>
    <w:rsid w:val="00A642F8"/>
    <w:rsid w:val="00A65D96"/>
    <w:rsid w:val="00A66FDF"/>
    <w:rsid w:val="00A71245"/>
    <w:rsid w:val="00A72278"/>
    <w:rsid w:val="00A741A5"/>
    <w:rsid w:val="00A92760"/>
    <w:rsid w:val="00A94269"/>
    <w:rsid w:val="00A94796"/>
    <w:rsid w:val="00A94899"/>
    <w:rsid w:val="00A95F23"/>
    <w:rsid w:val="00AA2257"/>
    <w:rsid w:val="00AA3656"/>
    <w:rsid w:val="00AB0DF0"/>
    <w:rsid w:val="00AB10D8"/>
    <w:rsid w:val="00AB17F0"/>
    <w:rsid w:val="00AB707A"/>
    <w:rsid w:val="00AC276B"/>
    <w:rsid w:val="00AC7773"/>
    <w:rsid w:val="00AD0E1F"/>
    <w:rsid w:val="00AD0EF7"/>
    <w:rsid w:val="00AE2626"/>
    <w:rsid w:val="00AE3EC8"/>
    <w:rsid w:val="00AE49B7"/>
    <w:rsid w:val="00AF0F49"/>
    <w:rsid w:val="00AF2705"/>
    <w:rsid w:val="00AF4CA0"/>
    <w:rsid w:val="00B026EA"/>
    <w:rsid w:val="00B032CD"/>
    <w:rsid w:val="00B04FF2"/>
    <w:rsid w:val="00B05616"/>
    <w:rsid w:val="00B07D20"/>
    <w:rsid w:val="00B10201"/>
    <w:rsid w:val="00B11A98"/>
    <w:rsid w:val="00B11FCD"/>
    <w:rsid w:val="00B173F9"/>
    <w:rsid w:val="00B212AC"/>
    <w:rsid w:val="00B21A6A"/>
    <w:rsid w:val="00B24A1E"/>
    <w:rsid w:val="00B268CE"/>
    <w:rsid w:val="00B33F22"/>
    <w:rsid w:val="00B34531"/>
    <w:rsid w:val="00B375FE"/>
    <w:rsid w:val="00B4056B"/>
    <w:rsid w:val="00B43BDF"/>
    <w:rsid w:val="00B4601F"/>
    <w:rsid w:val="00B477CD"/>
    <w:rsid w:val="00B5242B"/>
    <w:rsid w:val="00B53D1A"/>
    <w:rsid w:val="00B542B7"/>
    <w:rsid w:val="00B650AE"/>
    <w:rsid w:val="00B65BFE"/>
    <w:rsid w:val="00B7573A"/>
    <w:rsid w:val="00B8732B"/>
    <w:rsid w:val="00B907AF"/>
    <w:rsid w:val="00B914F2"/>
    <w:rsid w:val="00B918E2"/>
    <w:rsid w:val="00B92FA7"/>
    <w:rsid w:val="00B936B7"/>
    <w:rsid w:val="00B96147"/>
    <w:rsid w:val="00BA2CAB"/>
    <w:rsid w:val="00BA52E4"/>
    <w:rsid w:val="00BA556C"/>
    <w:rsid w:val="00BA58FD"/>
    <w:rsid w:val="00BB765C"/>
    <w:rsid w:val="00BB78F8"/>
    <w:rsid w:val="00BB7F63"/>
    <w:rsid w:val="00BC3040"/>
    <w:rsid w:val="00BC4587"/>
    <w:rsid w:val="00BC49E4"/>
    <w:rsid w:val="00BC52C0"/>
    <w:rsid w:val="00BC6088"/>
    <w:rsid w:val="00BD02C7"/>
    <w:rsid w:val="00BD6B92"/>
    <w:rsid w:val="00BD7A95"/>
    <w:rsid w:val="00BE6958"/>
    <w:rsid w:val="00BE6B69"/>
    <w:rsid w:val="00BF17B6"/>
    <w:rsid w:val="00C02542"/>
    <w:rsid w:val="00C02CE5"/>
    <w:rsid w:val="00C03F92"/>
    <w:rsid w:val="00C139D5"/>
    <w:rsid w:val="00C1548B"/>
    <w:rsid w:val="00C16563"/>
    <w:rsid w:val="00C17E75"/>
    <w:rsid w:val="00C204C7"/>
    <w:rsid w:val="00C21808"/>
    <w:rsid w:val="00C21F96"/>
    <w:rsid w:val="00C248C9"/>
    <w:rsid w:val="00C258A7"/>
    <w:rsid w:val="00C32320"/>
    <w:rsid w:val="00C33927"/>
    <w:rsid w:val="00C34692"/>
    <w:rsid w:val="00C34BAC"/>
    <w:rsid w:val="00C35CB0"/>
    <w:rsid w:val="00C36784"/>
    <w:rsid w:val="00C40B80"/>
    <w:rsid w:val="00C4210C"/>
    <w:rsid w:val="00C43AAF"/>
    <w:rsid w:val="00C47539"/>
    <w:rsid w:val="00C5080E"/>
    <w:rsid w:val="00C60173"/>
    <w:rsid w:val="00C63EA4"/>
    <w:rsid w:val="00C67018"/>
    <w:rsid w:val="00C72338"/>
    <w:rsid w:val="00C74E28"/>
    <w:rsid w:val="00C75213"/>
    <w:rsid w:val="00C76123"/>
    <w:rsid w:val="00C761FD"/>
    <w:rsid w:val="00C76871"/>
    <w:rsid w:val="00C76AC8"/>
    <w:rsid w:val="00C86FF9"/>
    <w:rsid w:val="00C87311"/>
    <w:rsid w:val="00C902AB"/>
    <w:rsid w:val="00C94CAE"/>
    <w:rsid w:val="00CA10D0"/>
    <w:rsid w:val="00CA169B"/>
    <w:rsid w:val="00CA437C"/>
    <w:rsid w:val="00CB203D"/>
    <w:rsid w:val="00CC1448"/>
    <w:rsid w:val="00CC5C50"/>
    <w:rsid w:val="00CD03E1"/>
    <w:rsid w:val="00CD1A06"/>
    <w:rsid w:val="00CD3400"/>
    <w:rsid w:val="00CE3C81"/>
    <w:rsid w:val="00CF0D59"/>
    <w:rsid w:val="00CF2529"/>
    <w:rsid w:val="00CF6919"/>
    <w:rsid w:val="00D0063B"/>
    <w:rsid w:val="00D06034"/>
    <w:rsid w:val="00D07D1F"/>
    <w:rsid w:val="00D27989"/>
    <w:rsid w:val="00D3129B"/>
    <w:rsid w:val="00D4177B"/>
    <w:rsid w:val="00D44B08"/>
    <w:rsid w:val="00D468C4"/>
    <w:rsid w:val="00D51341"/>
    <w:rsid w:val="00D545A1"/>
    <w:rsid w:val="00D60B21"/>
    <w:rsid w:val="00D61E8C"/>
    <w:rsid w:val="00D66DD4"/>
    <w:rsid w:val="00D7039C"/>
    <w:rsid w:val="00D7328B"/>
    <w:rsid w:val="00D771B0"/>
    <w:rsid w:val="00D833C6"/>
    <w:rsid w:val="00D86A76"/>
    <w:rsid w:val="00D9478B"/>
    <w:rsid w:val="00D969A6"/>
    <w:rsid w:val="00D9725A"/>
    <w:rsid w:val="00DA222F"/>
    <w:rsid w:val="00DA45E0"/>
    <w:rsid w:val="00DA531B"/>
    <w:rsid w:val="00DA6939"/>
    <w:rsid w:val="00DA6DCD"/>
    <w:rsid w:val="00DB0198"/>
    <w:rsid w:val="00DB1875"/>
    <w:rsid w:val="00DB289B"/>
    <w:rsid w:val="00DB48D3"/>
    <w:rsid w:val="00DC054D"/>
    <w:rsid w:val="00DC46C0"/>
    <w:rsid w:val="00DC5592"/>
    <w:rsid w:val="00DD0996"/>
    <w:rsid w:val="00DE2E55"/>
    <w:rsid w:val="00DE5638"/>
    <w:rsid w:val="00DE6753"/>
    <w:rsid w:val="00DE7791"/>
    <w:rsid w:val="00DF0434"/>
    <w:rsid w:val="00DF211D"/>
    <w:rsid w:val="00DF2D5E"/>
    <w:rsid w:val="00E048F6"/>
    <w:rsid w:val="00E148DB"/>
    <w:rsid w:val="00E1682F"/>
    <w:rsid w:val="00E20619"/>
    <w:rsid w:val="00E25403"/>
    <w:rsid w:val="00E25C4C"/>
    <w:rsid w:val="00E30F98"/>
    <w:rsid w:val="00E366AA"/>
    <w:rsid w:val="00E419AD"/>
    <w:rsid w:val="00E448FE"/>
    <w:rsid w:val="00E502E8"/>
    <w:rsid w:val="00E52A46"/>
    <w:rsid w:val="00E54C85"/>
    <w:rsid w:val="00E57838"/>
    <w:rsid w:val="00E57DD1"/>
    <w:rsid w:val="00E616C5"/>
    <w:rsid w:val="00E71C57"/>
    <w:rsid w:val="00E85157"/>
    <w:rsid w:val="00E86D99"/>
    <w:rsid w:val="00E87B66"/>
    <w:rsid w:val="00E9462E"/>
    <w:rsid w:val="00E94FAC"/>
    <w:rsid w:val="00EA1894"/>
    <w:rsid w:val="00EA2A2E"/>
    <w:rsid w:val="00EA2F34"/>
    <w:rsid w:val="00EB36FB"/>
    <w:rsid w:val="00EB5AF5"/>
    <w:rsid w:val="00EC4124"/>
    <w:rsid w:val="00ED2D18"/>
    <w:rsid w:val="00EE0EFB"/>
    <w:rsid w:val="00EE1234"/>
    <w:rsid w:val="00EE41B1"/>
    <w:rsid w:val="00EF1668"/>
    <w:rsid w:val="00EF5477"/>
    <w:rsid w:val="00EF746D"/>
    <w:rsid w:val="00F027D8"/>
    <w:rsid w:val="00F04782"/>
    <w:rsid w:val="00F07AC8"/>
    <w:rsid w:val="00F118E8"/>
    <w:rsid w:val="00F1357C"/>
    <w:rsid w:val="00F15627"/>
    <w:rsid w:val="00F2230D"/>
    <w:rsid w:val="00F308D3"/>
    <w:rsid w:val="00F365A8"/>
    <w:rsid w:val="00F433FE"/>
    <w:rsid w:val="00F466F4"/>
    <w:rsid w:val="00F5080F"/>
    <w:rsid w:val="00F51939"/>
    <w:rsid w:val="00F60053"/>
    <w:rsid w:val="00F60916"/>
    <w:rsid w:val="00F63AE1"/>
    <w:rsid w:val="00F74DBE"/>
    <w:rsid w:val="00F9040F"/>
    <w:rsid w:val="00F94F0E"/>
    <w:rsid w:val="00F97D2F"/>
    <w:rsid w:val="00FA2836"/>
    <w:rsid w:val="00FB22AE"/>
    <w:rsid w:val="00FB2DBB"/>
    <w:rsid w:val="00FB46C8"/>
    <w:rsid w:val="00FB6C71"/>
    <w:rsid w:val="00FC050E"/>
    <w:rsid w:val="00FC4D81"/>
    <w:rsid w:val="00FC5F75"/>
    <w:rsid w:val="00FD1C72"/>
    <w:rsid w:val="00FD5FF0"/>
    <w:rsid w:val="00FD61A8"/>
    <w:rsid w:val="00FE43CC"/>
    <w:rsid w:val="00FF1355"/>
    <w:rsid w:val="00FF58C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A9"/>
  </w:style>
  <w:style w:type="paragraph" w:styleId="Heading1">
    <w:name w:val="heading 1"/>
    <w:basedOn w:val="Normal"/>
    <w:next w:val="Normal"/>
    <w:link w:val="Heading1Char"/>
    <w:uiPriority w:val="9"/>
    <w:qFormat/>
    <w:rsid w:val="002C2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D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C20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40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6240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24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6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7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7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7D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127D1"/>
    <w:pPr>
      <w:ind w:left="720"/>
      <w:contextualSpacing/>
    </w:pPr>
    <w:rPr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727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0A6723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25236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A6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D0E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0EF7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33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B89"/>
  </w:style>
  <w:style w:type="paragraph" w:styleId="Footer">
    <w:name w:val="footer"/>
    <w:basedOn w:val="Normal"/>
    <w:link w:val="FooterChar"/>
    <w:uiPriority w:val="99"/>
    <w:unhideWhenUsed/>
    <w:rsid w:val="0033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B89"/>
  </w:style>
  <w:style w:type="character" w:styleId="FollowedHyperlink">
    <w:name w:val="FollowedHyperlink"/>
    <w:basedOn w:val="DefaultParagraphFont"/>
    <w:uiPriority w:val="99"/>
    <w:semiHidden/>
    <w:unhideWhenUsed/>
    <w:rsid w:val="0055661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2D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E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20A9E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DB48D3"/>
  </w:style>
  <w:style w:type="character" w:customStyle="1" w:styleId="apple-converted-space">
    <w:name w:val="apple-converted-space"/>
    <w:basedOn w:val="DefaultParagraphFont"/>
    <w:rsid w:val="00F60916"/>
  </w:style>
  <w:style w:type="paragraph" w:styleId="Bibliography">
    <w:name w:val="Bibliography"/>
    <w:basedOn w:val="Normal"/>
    <w:next w:val="Normal"/>
    <w:uiPriority w:val="37"/>
    <w:unhideWhenUsed/>
    <w:rsid w:val="001303A5"/>
    <w:pPr>
      <w:tabs>
        <w:tab w:val="left" w:pos="384"/>
      </w:tabs>
      <w:spacing w:after="0" w:line="240" w:lineRule="auto"/>
      <w:ind w:left="384" w:hanging="3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A9"/>
  </w:style>
  <w:style w:type="paragraph" w:styleId="Heading1">
    <w:name w:val="heading 1"/>
    <w:basedOn w:val="Normal"/>
    <w:next w:val="Normal"/>
    <w:link w:val="Heading1Char"/>
    <w:uiPriority w:val="9"/>
    <w:qFormat/>
    <w:rsid w:val="002C2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D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C20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40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6240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624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6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7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7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7D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127D1"/>
    <w:pPr>
      <w:ind w:left="720"/>
      <w:contextualSpacing/>
    </w:pPr>
    <w:rPr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727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0A6723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25236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A6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D0E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0EF7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33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B89"/>
  </w:style>
  <w:style w:type="paragraph" w:styleId="Footer">
    <w:name w:val="footer"/>
    <w:basedOn w:val="Normal"/>
    <w:link w:val="FooterChar"/>
    <w:uiPriority w:val="99"/>
    <w:unhideWhenUsed/>
    <w:rsid w:val="0033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B89"/>
  </w:style>
  <w:style w:type="character" w:styleId="FollowedHyperlink">
    <w:name w:val="FollowedHyperlink"/>
    <w:basedOn w:val="DefaultParagraphFont"/>
    <w:uiPriority w:val="99"/>
    <w:semiHidden/>
    <w:unhideWhenUsed/>
    <w:rsid w:val="0055661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2D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E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20A9E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DB48D3"/>
  </w:style>
  <w:style w:type="character" w:customStyle="1" w:styleId="apple-converted-space">
    <w:name w:val="apple-converted-space"/>
    <w:basedOn w:val="DefaultParagraphFont"/>
    <w:rsid w:val="00F60916"/>
  </w:style>
  <w:style w:type="paragraph" w:styleId="Bibliography">
    <w:name w:val="Bibliography"/>
    <w:basedOn w:val="Normal"/>
    <w:next w:val="Normal"/>
    <w:uiPriority w:val="37"/>
    <w:unhideWhenUsed/>
    <w:rsid w:val="001303A5"/>
    <w:pPr>
      <w:tabs>
        <w:tab w:val="left" w:pos="384"/>
      </w:tabs>
      <w:spacing w:after="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census.gov/housing/ahs/publications/historic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41A4-0978-4E3D-A78D-19030028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Cecilia</cp:lastModifiedBy>
  <cp:revision>28</cp:revision>
  <cp:lastPrinted>2015-06-15T15:13:00Z</cp:lastPrinted>
  <dcterms:created xsi:type="dcterms:W3CDTF">2015-07-27T00:41:00Z</dcterms:created>
  <dcterms:modified xsi:type="dcterms:W3CDTF">2015-07-27T18:06:00Z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id="fxvphobC"/&gt;&lt;style id="http://www.zotero.org/styles/energy"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value="true"/&gt;&lt;pref name="noteType" value="0"/&gt;&lt;/prefs&gt;&lt;/data&gt;</vt:lpwstr>
  </property>
</Properties>
</file>