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B" w:rsidRPr="001E6ECB" w:rsidRDefault="00501B4E" w:rsidP="001E6ECB">
      <w:r>
        <w:rPr>
          <w:b/>
        </w:rPr>
        <w:t>S1 Fig</w:t>
      </w:r>
      <w:bookmarkStart w:id="0" w:name="_GoBack"/>
      <w:bookmarkEnd w:id="0"/>
      <w:r w:rsidR="001E6ECB" w:rsidRPr="001E6ECB">
        <w:rPr>
          <w:b/>
        </w:rPr>
        <w:t>.</w:t>
      </w:r>
      <w:r w:rsidR="001E6ECB" w:rsidRPr="001E6ECB">
        <w:rPr>
          <w:bCs/>
        </w:rPr>
        <w:t xml:space="preserve"> </w:t>
      </w:r>
      <w:proofErr w:type="gramStart"/>
      <w:r w:rsidR="001E6ECB" w:rsidRPr="001E6ECB">
        <w:rPr>
          <w:bCs/>
        </w:rPr>
        <w:t>Prevalence of nonadherence to statin medication in the first year (2006) of the follow-up and the increase in nonadherence prevalence from 2006 to 2010 by patient subgroup in men and in women.</w:t>
      </w:r>
      <w:proofErr w:type="gramEnd"/>
      <w:r w:rsidR="001E6ECB" w:rsidRPr="001E6ECB">
        <w:t xml:space="preserve"> </w:t>
      </w:r>
    </w:p>
    <w:p w:rsidR="00C02AA9" w:rsidRDefault="001E6ECB">
      <w:r>
        <w:rPr>
          <w:noProof/>
          <w:lang w:val="fi-FI" w:eastAsia="fi-FI"/>
        </w:rPr>
        <w:drawing>
          <wp:inline distT="0" distB="0" distL="0" distR="0" wp14:anchorId="7895FA80" wp14:editId="260638EC">
            <wp:extent cx="5732145" cy="3708611"/>
            <wp:effectExtent l="0" t="0" r="20955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6ECB" w:rsidRDefault="001E6ECB">
      <w:r>
        <w:rPr>
          <w:noProof/>
          <w:lang w:val="fi-FI" w:eastAsia="fi-FI"/>
        </w:rPr>
        <w:drawing>
          <wp:inline distT="0" distB="0" distL="0" distR="0" wp14:anchorId="0F5E7BFC" wp14:editId="14AAFC15">
            <wp:extent cx="5732145" cy="3746547"/>
            <wp:effectExtent l="0" t="0" r="2095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E6ECB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B"/>
    <w:rsid w:val="00003693"/>
    <w:rsid w:val="00003854"/>
    <w:rsid w:val="000156F5"/>
    <w:rsid w:val="00016B04"/>
    <w:rsid w:val="000224C8"/>
    <w:rsid w:val="00031A5C"/>
    <w:rsid w:val="00037B8D"/>
    <w:rsid w:val="00047FBE"/>
    <w:rsid w:val="00084EDE"/>
    <w:rsid w:val="000A5644"/>
    <w:rsid w:val="000C1D70"/>
    <w:rsid w:val="000C39DC"/>
    <w:rsid w:val="000E026A"/>
    <w:rsid w:val="000F2C21"/>
    <w:rsid w:val="00106C47"/>
    <w:rsid w:val="001272FC"/>
    <w:rsid w:val="00145B10"/>
    <w:rsid w:val="00154EEB"/>
    <w:rsid w:val="001620A8"/>
    <w:rsid w:val="00164189"/>
    <w:rsid w:val="00185CA9"/>
    <w:rsid w:val="001B535D"/>
    <w:rsid w:val="001D3920"/>
    <w:rsid w:val="001D4BF0"/>
    <w:rsid w:val="001E1950"/>
    <w:rsid w:val="001E6ECB"/>
    <w:rsid w:val="001F3E55"/>
    <w:rsid w:val="001F5619"/>
    <w:rsid w:val="002024C1"/>
    <w:rsid w:val="0022174E"/>
    <w:rsid w:val="0023363A"/>
    <w:rsid w:val="002417FC"/>
    <w:rsid w:val="002554C1"/>
    <w:rsid w:val="002903FE"/>
    <w:rsid w:val="00294CC3"/>
    <w:rsid w:val="002968D5"/>
    <w:rsid w:val="002A4751"/>
    <w:rsid w:val="002B6929"/>
    <w:rsid w:val="002B7065"/>
    <w:rsid w:val="002D3514"/>
    <w:rsid w:val="002D59D8"/>
    <w:rsid w:val="002E2E87"/>
    <w:rsid w:val="002F043D"/>
    <w:rsid w:val="002F1248"/>
    <w:rsid w:val="002F1E7F"/>
    <w:rsid w:val="00303AF2"/>
    <w:rsid w:val="00306ED2"/>
    <w:rsid w:val="0035193F"/>
    <w:rsid w:val="0036698F"/>
    <w:rsid w:val="00376FA8"/>
    <w:rsid w:val="003865E6"/>
    <w:rsid w:val="00391335"/>
    <w:rsid w:val="0039263C"/>
    <w:rsid w:val="00392D62"/>
    <w:rsid w:val="003B243D"/>
    <w:rsid w:val="003C0050"/>
    <w:rsid w:val="003C6F18"/>
    <w:rsid w:val="0040175C"/>
    <w:rsid w:val="004025E3"/>
    <w:rsid w:val="004120D7"/>
    <w:rsid w:val="004138D0"/>
    <w:rsid w:val="00426C85"/>
    <w:rsid w:val="0043427A"/>
    <w:rsid w:val="004430E4"/>
    <w:rsid w:val="004449A8"/>
    <w:rsid w:val="00477BC7"/>
    <w:rsid w:val="004A4433"/>
    <w:rsid w:val="004A7B5C"/>
    <w:rsid w:val="004B2F6A"/>
    <w:rsid w:val="004D5D16"/>
    <w:rsid w:val="004E6D09"/>
    <w:rsid w:val="004F02CE"/>
    <w:rsid w:val="004F7671"/>
    <w:rsid w:val="004F7C25"/>
    <w:rsid w:val="00501B4E"/>
    <w:rsid w:val="00503AF4"/>
    <w:rsid w:val="00512D16"/>
    <w:rsid w:val="00544883"/>
    <w:rsid w:val="00553DE8"/>
    <w:rsid w:val="00557C8B"/>
    <w:rsid w:val="00560B61"/>
    <w:rsid w:val="005619ED"/>
    <w:rsid w:val="00562CA5"/>
    <w:rsid w:val="00564DB9"/>
    <w:rsid w:val="005707C8"/>
    <w:rsid w:val="00571A9C"/>
    <w:rsid w:val="00577103"/>
    <w:rsid w:val="005868C4"/>
    <w:rsid w:val="00592B17"/>
    <w:rsid w:val="005A71C5"/>
    <w:rsid w:val="005D379A"/>
    <w:rsid w:val="005D3D2F"/>
    <w:rsid w:val="005E6A2D"/>
    <w:rsid w:val="005E6FF5"/>
    <w:rsid w:val="00602CDD"/>
    <w:rsid w:val="00611E6F"/>
    <w:rsid w:val="00641E7E"/>
    <w:rsid w:val="006501B7"/>
    <w:rsid w:val="00661BD8"/>
    <w:rsid w:val="0067467D"/>
    <w:rsid w:val="00687F91"/>
    <w:rsid w:val="00690465"/>
    <w:rsid w:val="00694316"/>
    <w:rsid w:val="006A36BF"/>
    <w:rsid w:val="006A625F"/>
    <w:rsid w:val="006B6D3C"/>
    <w:rsid w:val="006D0C5D"/>
    <w:rsid w:val="006D1DD5"/>
    <w:rsid w:val="006D503A"/>
    <w:rsid w:val="00713298"/>
    <w:rsid w:val="0071470B"/>
    <w:rsid w:val="00725518"/>
    <w:rsid w:val="00727C08"/>
    <w:rsid w:val="00732F84"/>
    <w:rsid w:val="00773398"/>
    <w:rsid w:val="00786749"/>
    <w:rsid w:val="007A3913"/>
    <w:rsid w:val="007A45DF"/>
    <w:rsid w:val="007B45BD"/>
    <w:rsid w:val="007B4C47"/>
    <w:rsid w:val="007B5EAA"/>
    <w:rsid w:val="00815D71"/>
    <w:rsid w:val="00823A64"/>
    <w:rsid w:val="008248C1"/>
    <w:rsid w:val="00865B62"/>
    <w:rsid w:val="00870D68"/>
    <w:rsid w:val="00873346"/>
    <w:rsid w:val="008756B2"/>
    <w:rsid w:val="008859DD"/>
    <w:rsid w:val="008A7682"/>
    <w:rsid w:val="008B161D"/>
    <w:rsid w:val="008B5B28"/>
    <w:rsid w:val="008C38C2"/>
    <w:rsid w:val="008F4BC7"/>
    <w:rsid w:val="00943F31"/>
    <w:rsid w:val="00951083"/>
    <w:rsid w:val="009533C3"/>
    <w:rsid w:val="0096244E"/>
    <w:rsid w:val="00962C4C"/>
    <w:rsid w:val="00965BFB"/>
    <w:rsid w:val="00984D81"/>
    <w:rsid w:val="00985FF8"/>
    <w:rsid w:val="009934FD"/>
    <w:rsid w:val="009968A8"/>
    <w:rsid w:val="009B5A29"/>
    <w:rsid w:val="009D0E51"/>
    <w:rsid w:val="009E43B9"/>
    <w:rsid w:val="009F006C"/>
    <w:rsid w:val="009F08A8"/>
    <w:rsid w:val="00A11166"/>
    <w:rsid w:val="00A11765"/>
    <w:rsid w:val="00A1454B"/>
    <w:rsid w:val="00A24C14"/>
    <w:rsid w:val="00A5506D"/>
    <w:rsid w:val="00A70610"/>
    <w:rsid w:val="00A70F05"/>
    <w:rsid w:val="00A725A5"/>
    <w:rsid w:val="00A754AA"/>
    <w:rsid w:val="00AB0E90"/>
    <w:rsid w:val="00AB26F5"/>
    <w:rsid w:val="00AB5BD6"/>
    <w:rsid w:val="00AE2CD9"/>
    <w:rsid w:val="00AF3565"/>
    <w:rsid w:val="00B11F80"/>
    <w:rsid w:val="00B13E6D"/>
    <w:rsid w:val="00B40BD8"/>
    <w:rsid w:val="00B47E32"/>
    <w:rsid w:val="00B8296C"/>
    <w:rsid w:val="00B837E6"/>
    <w:rsid w:val="00B84AFF"/>
    <w:rsid w:val="00B96CC7"/>
    <w:rsid w:val="00B96D70"/>
    <w:rsid w:val="00BA3F7D"/>
    <w:rsid w:val="00BA716F"/>
    <w:rsid w:val="00BB51EF"/>
    <w:rsid w:val="00BB5EF4"/>
    <w:rsid w:val="00BC1680"/>
    <w:rsid w:val="00BC49DD"/>
    <w:rsid w:val="00BD15BE"/>
    <w:rsid w:val="00BD1D6C"/>
    <w:rsid w:val="00BD2248"/>
    <w:rsid w:val="00BD2572"/>
    <w:rsid w:val="00BE1D73"/>
    <w:rsid w:val="00BF4664"/>
    <w:rsid w:val="00BF54AF"/>
    <w:rsid w:val="00C022AC"/>
    <w:rsid w:val="00C02AA9"/>
    <w:rsid w:val="00C1212E"/>
    <w:rsid w:val="00C124C2"/>
    <w:rsid w:val="00C1388B"/>
    <w:rsid w:val="00C14263"/>
    <w:rsid w:val="00C15E52"/>
    <w:rsid w:val="00C17CCD"/>
    <w:rsid w:val="00C2251F"/>
    <w:rsid w:val="00C22B94"/>
    <w:rsid w:val="00C25E47"/>
    <w:rsid w:val="00C27A20"/>
    <w:rsid w:val="00C37D8A"/>
    <w:rsid w:val="00C420CC"/>
    <w:rsid w:val="00C70909"/>
    <w:rsid w:val="00C82FC2"/>
    <w:rsid w:val="00C8462B"/>
    <w:rsid w:val="00C90B79"/>
    <w:rsid w:val="00CA1CB3"/>
    <w:rsid w:val="00CD24A7"/>
    <w:rsid w:val="00CD4304"/>
    <w:rsid w:val="00CF3955"/>
    <w:rsid w:val="00CF70AA"/>
    <w:rsid w:val="00D01211"/>
    <w:rsid w:val="00D021E1"/>
    <w:rsid w:val="00D02372"/>
    <w:rsid w:val="00D10AF2"/>
    <w:rsid w:val="00D16D40"/>
    <w:rsid w:val="00D177F1"/>
    <w:rsid w:val="00D2122F"/>
    <w:rsid w:val="00D21E66"/>
    <w:rsid w:val="00D26F2C"/>
    <w:rsid w:val="00D32A1F"/>
    <w:rsid w:val="00D522B7"/>
    <w:rsid w:val="00D74E55"/>
    <w:rsid w:val="00D7568F"/>
    <w:rsid w:val="00D7705A"/>
    <w:rsid w:val="00D83EFC"/>
    <w:rsid w:val="00D8456D"/>
    <w:rsid w:val="00D951C8"/>
    <w:rsid w:val="00DA6BAF"/>
    <w:rsid w:val="00DB2D74"/>
    <w:rsid w:val="00DB3D53"/>
    <w:rsid w:val="00DC0441"/>
    <w:rsid w:val="00DC5212"/>
    <w:rsid w:val="00DD3008"/>
    <w:rsid w:val="00DE777E"/>
    <w:rsid w:val="00E24081"/>
    <w:rsid w:val="00E32B3D"/>
    <w:rsid w:val="00E33DB3"/>
    <w:rsid w:val="00E355B2"/>
    <w:rsid w:val="00E418C2"/>
    <w:rsid w:val="00E60498"/>
    <w:rsid w:val="00E931D7"/>
    <w:rsid w:val="00E96C4B"/>
    <w:rsid w:val="00EA10E5"/>
    <w:rsid w:val="00EC7461"/>
    <w:rsid w:val="00EE2EA6"/>
    <w:rsid w:val="00EE7135"/>
    <w:rsid w:val="00EF337B"/>
    <w:rsid w:val="00F124A0"/>
    <w:rsid w:val="00F1665D"/>
    <w:rsid w:val="00F241CF"/>
    <w:rsid w:val="00F2738F"/>
    <w:rsid w:val="00F27851"/>
    <w:rsid w:val="00F36F3E"/>
    <w:rsid w:val="00F4195B"/>
    <w:rsid w:val="00F47176"/>
    <w:rsid w:val="00F76126"/>
    <w:rsid w:val="00F81506"/>
    <w:rsid w:val="00F815DE"/>
    <w:rsid w:val="00F8547C"/>
    <w:rsid w:val="00F91D30"/>
    <w:rsid w:val="00FB0257"/>
    <w:rsid w:val="00FB30D5"/>
    <w:rsid w:val="00FB6345"/>
    <w:rsid w:val="00FE0154"/>
    <w:rsid w:val="00FE1501"/>
    <w:rsid w:val="00FF33E4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eli\Volume%203\Nonadhe%20prevalenssi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fi-FI" baseline="0"/>
              <a:t>Men</a:t>
            </a:r>
            <a:endParaRPr lang="fi-FI"/>
          </a:p>
        </c:rich>
      </c:tx>
      <c:layout>
        <c:manualLayout>
          <c:xMode val="edge"/>
          <c:yMode val="edge"/>
          <c:x val="6.8352095121275672E-2"/>
          <c:y val="9.8631603088448899E-2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2006</c:v>
          </c:tx>
          <c:invertIfNegative val="0"/>
          <c:cat>
            <c:strRef>
              <c:f>Sheet1!$B$13:$N$13</c:f>
              <c:strCache>
                <c:ptCount val="13"/>
                <c:pt idx="0">
                  <c:v>Retirement age: 44-63</c:v>
                </c:pt>
                <c:pt idx="1">
                  <c:v>64-68</c:v>
                </c:pt>
                <c:pt idx="2">
                  <c:v>Education: Compulsory</c:v>
                </c:pt>
                <c:pt idx="3">
                  <c:v>Secondary</c:v>
                </c:pt>
                <c:pt idx="4">
                  <c:v>University</c:v>
                </c:pt>
                <c:pt idx="5">
                  <c:v>Married or cohabiting: Yes</c:v>
                </c:pt>
                <c:pt idx="6">
                  <c:v>No</c:v>
                </c:pt>
                <c:pt idx="7">
                  <c:v>Income: Low</c:v>
                </c:pt>
                <c:pt idx="8">
                  <c:v>High</c:v>
                </c:pt>
                <c:pt idx="9">
                  <c:v>Retirement: Statutory</c:v>
                </c:pt>
                <c:pt idx="10">
                  <c:v>Disability</c:v>
                </c:pt>
                <c:pt idx="11">
                  <c:v>Prevention: Primary</c:v>
                </c:pt>
                <c:pt idx="12">
                  <c:v>Secondary</c:v>
                </c:pt>
              </c:strCache>
            </c:strRef>
          </c:cat>
          <c:val>
            <c:numRef>
              <c:f>Sheet1!$B$14:$N$14</c:f>
              <c:numCache>
                <c:formatCode>General</c:formatCode>
                <c:ptCount val="13"/>
                <c:pt idx="0">
                  <c:v>17.2</c:v>
                </c:pt>
                <c:pt idx="1">
                  <c:v>15.9</c:v>
                </c:pt>
                <c:pt idx="2">
                  <c:v>16</c:v>
                </c:pt>
                <c:pt idx="3">
                  <c:v>16.399999999999999</c:v>
                </c:pt>
                <c:pt idx="4">
                  <c:v>17.100000000000001</c:v>
                </c:pt>
                <c:pt idx="5">
                  <c:v>15.7</c:v>
                </c:pt>
                <c:pt idx="6">
                  <c:v>18.2</c:v>
                </c:pt>
                <c:pt idx="7">
                  <c:v>16.600000000000001</c:v>
                </c:pt>
                <c:pt idx="8">
                  <c:v>16.399999999999999</c:v>
                </c:pt>
                <c:pt idx="9">
                  <c:v>16.7</c:v>
                </c:pt>
                <c:pt idx="10">
                  <c:v>15.9</c:v>
                </c:pt>
                <c:pt idx="11">
                  <c:v>17.8</c:v>
                </c:pt>
                <c:pt idx="12">
                  <c:v>12.9</c:v>
                </c:pt>
              </c:numCache>
            </c:numRef>
          </c:val>
        </c:ser>
        <c:ser>
          <c:idx val="1"/>
          <c:order val="1"/>
          <c:tx>
            <c:v>Change from 2006 to 2010</c:v>
          </c:tx>
          <c:invertIfNegative val="0"/>
          <c:cat>
            <c:strRef>
              <c:f>Sheet1!$B$13:$N$13</c:f>
              <c:strCache>
                <c:ptCount val="13"/>
                <c:pt idx="0">
                  <c:v>Retirement age: 44-63</c:v>
                </c:pt>
                <c:pt idx="1">
                  <c:v>64-68</c:v>
                </c:pt>
                <c:pt idx="2">
                  <c:v>Education: Compulsory</c:v>
                </c:pt>
                <c:pt idx="3">
                  <c:v>Secondary</c:v>
                </c:pt>
                <c:pt idx="4">
                  <c:v>University</c:v>
                </c:pt>
                <c:pt idx="5">
                  <c:v>Married or cohabiting: Yes</c:v>
                </c:pt>
                <c:pt idx="6">
                  <c:v>No</c:v>
                </c:pt>
                <c:pt idx="7">
                  <c:v>Income: Low</c:v>
                </c:pt>
                <c:pt idx="8">
                  <c:v>High</c:v>
                </c:pt>
                <c:pt idx="9">
                  <c:v>Retirement: Statutory</c:v>
                </c:pt>
                <c:pt idx="10">
                  <c:v>Disability</c:v>
                </c:pt>
                <c:pt idx="11">
                  <c:v>Prevention: Primary</c:v>
                </c:pt>
                <c:pt idx="12">
                  <c:v>Secondary</c:v>
                </c:pt>
              </c:strCache>
            </c:strRef>
          </c:cat>
          <c:val>
            <c:numRef>
              <c:f>Sheet1!$B$15:$N$15</c:f>
              <c:numCache>
                <c:formatCode>General</c:formatCode>
                <c:ptCount val="13"/>
                <c:pt idx="0">
                  <c:v>4.6999999999999993</c:v>
                </c:pt>
                <c:pt idx="1">
                  <c:v>6.4</c:v>
                </c:pt>
                <c:pt idx="2">
                  <c:v>5</c:v>
                </c:pt>
                <c:pt idx="3">
                  <c:v>5.4000000000000021</c:v>
                </c:pt>
                <c:pt idx="4">
                  <c:v>6.5</c:v>
                </c:pt>
                <c:pt idx="5">
                  <c:v>5.6000000000000014</c:v>
                </c:pt>
                <c:pt idx="6">
                  <c:v>5.6000000000000014</c:v>
                </c:pt>
                <c:pt idx="7">
                  <c:v>6.2999999999999972</c:v>
                </c:pt>
                <c:pt idx="8">
                  <c:v>5.1000000000000014</c:v>
                </c:pt>
                <c:pt idx="9">
                  <c:v>5.8000000000000007</c:v>
                </c:pt>
                <c:pt idx="10">
                  <c:v>4.9000000000000004</c:v>
                </c:pt>
                <c:pt idx="11">
                  <c:v>5.0999999999999979</c:v>
                </c:pt>
                <c:pt idx="12">
                  <c:v>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07761664"/>
        <c:axId val="107763200"/>
      </c:barChart>
      <c:catAx>
        <c:axId val="107761664"/>
        <c:scaling>
          <c:orientation val="maxMin"/>
        </c:scaling>
        <c:delete val="0"/>
        <c:axPos val="l"/>
        <c:majorTickMark val="out"/>
        <c:minorTickMark val="none"/>
        <c:tickLblPos val="nextTo"/>
        <c:crossAx val="107763200"/>
        <c:crosses val="autoZero"/>
        <c:auto val="1"/>
        <c:lblAlgn val="ctr"/>
        <c:lblOffset val="100"/>
        <c:noMultiLvlLbl val="0"/>
      </c:catAx>
      <c:valAx>
        <c:axId val="107763200"/>
        <c:scaling>
          <c:orientation val="minMax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i-FI"/>
                  <a:t>Prevalence</a:t>
                </a:r>
                <a:r>
                  <a:rPr lang="fi-FI" baseline="0"/>
                  <a:t> of nonadherence, %</a:t>
                </a:r>
                <a:endParaRPr lang="fi-FI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crossAx val="1077616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fi-FI"/>
              <a:t>Women</a:t>
            </a:r>
          </a:p>
        </c:rich>
      </c:tx>
      <c:layout>
        <c:manualLayout>
          <c:xMode val="edge"/>
          <c:yMode val="edge"/>
          <c:x val="6.6745639095997955E-2"/>
          <c:y val="0.10177660335978313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2006</c:v>
          </c:tx>
          <c:invertIfNegative val="0"/>
          <c:cat>
            <c:strRef>
              <c:f>Sheet1!$B$17:$N$17</c:f>
              <c:strCache>
                <c:ptCount val="13"/>
                <c:pt idx="0">
                  <c:v>Retirement age: 44-63</c:v>
                </c:pt>
                <c:pt idx="1">
                  <c:v>64-68</c:v>
                </c:pt>
                <c:pt idx="2">
                  <c:v>Education: Compulsory</c:v>
                </c:pt>
                <c:pt idx="3">
                  <c:v> Secondary</c:v>
                </c:pt>
                <c:pt idx="4">
                  <c:v>University</c:v>
                </c:pt>
                <c:pt idx="5">
                  <c:v>Married or cohabiting: Yes</c:v>
                </c:pt>
                <c:pt idx="6">
                  <c:v>No</c:v>
                </c:pt>
                <c:pt idx="7">
                  <c:v>Income: Low</c:v>
                </c:pt>
                <c:pt idx="8">
                  <c:v>High</c:v>
                </c:pt>
                <c:pt idx="9">
                  <c:v>Retirement: Statutory</c:v>
                </c:pt>
                <c:pt idx="10">
                  <c:v>Disability</c:v>
                </c:pt>
                <c:pt idx="11">
                  <c:v>Prevention: Primary</c:v>
                </c:pt>
                <c:pt idx="12">
                  <c:v>Secondary</c:v>
                </c:pt>
              </c:strCache>
            </c:strRef>
          </c:cat>
          <c:val>
            <c:numRef>
              <c:f>Sheet1!$B$18:$N$18</c:f>
              <c:numCache>
                <c:formatCode>General</c:formatCode>
                <c:ptCount val="13"/>
                <c:pt idx="0">
                  <c:v>21.5</c:v>
                </c:pt>
                <c:pt idx="1">
                  <c:v>20.100000000000001</c:v>
                </c:pt>
                <c:pt idx="2">
                  <c:v>19.2</c:v>
                </c:pt>
                <c:pt idx="3">
                  <c:v>19.7</c:v>
                </c:pt>
                <c:pt idx="4">
                  <c:v>22.7</c:v>
                </c:pt>
                <c:pt idx="5">
                  <c:v>19.7</c:v>
                </c:pt>
                <c:pt idx="6">
                  <c:v>22.5</c:v>
                </c:pt>
                <c:pt idx="7">
                  <c:v>19.3</c:v>
                </c:pt>
                <c:pt idx="8">
                  <c:v>22.9</c:v>
                </c:pt>
                <c:pt idx="9">
                  <c:v>20.399999999999999</c:v>
                </c:pt>
                <c:pt idx="10">
                  <c:v>21.3</c:v>
                </c:pt>
                <c:pt idx="11">
                  <c:v>21.7</c:v>
                </c:pt>
                <c:pt idx="12">
                  <c:v>13.3</c:v>
                </c:pt>
              </c:numCache>
            </c:numRef>
          </c:val>
        </c:ser>
        <c:ser>
          <c:idx val="1"/>
          <c:order val="1"/>
          <c:tx>
            <c:v>Change from 2006 to 2010</c:v>
          </c:tx>
          <c:invertIfNegative val="0"/>
          <c:cat>
            <c:strRef>
              <c:f>Sheet1!$B$17:$N$17</c:f>
              <c:strCache>
                <c:ptCount val="13"/>
                <c:pt idx="0">
                  <c:v>Retirement age: 44-63</c:v>
                </c:pt>
                <c:pt idx="1">
                  <c:v>64-68</c:v>
                </c:pt>
                <c:pt idx="2">
                  <c:v>Education: Compulsory</c:v>
                </c:pt>
                <c:pt idx="3">
                  <c:v> Secondary</c:v>
                </c:pt>
                <c:pt idx="4">
                  <c:v>University</c:v>
                </c:pt>
                <c:pt idx="5">
                  <c:v>Married or cohabiting: Yes</c:v>
                </c:pt>
                <c:pt idx="6">
                  <c:v>No</c:v>
                </c:pt>
                <c:pt idx="7">
                  <c:v>Income: Low</c:v>
                </c:pt>
                <c:pt idx="8">
                  <c:v>High</c:v>
                </c:pt>
                <c:pt idx="9">
                  <c:v>Retirement: Statutory</c:v>
                </c:pt>
                <c:pt idx="10">
                  <c:v>Disability</c:v>
                </c:pt>
                <c:pt idx="11">
                  <c:v>Prevention: Primary</c:v>
                </c:pt>
                <c:pt idx="12">
                  <c:v>Secondary</c:v>
                </c:pt>
              </c:strCache>
            </c:strRef>
          </c:cat>
          <c:val>
            <c:numRef>
              <c:f>Sheet1!$B$19:$N$19</c:f>
              <c:numCache>
                <c:formatCode>General</c:formatCode>
                <c:ptCount val="13"/>
                <c:pt idx="0">
                  <c:v>5.1999999999999993</c:v>
                </c:pt>
                <c:pt idx="1">
                  <c:v>3.7999999999999972</c:v>
                </c:pt>
                <c:pt idx="2">
                  <c:v>2</c:v>
                </c:pt>
                <c:pt idx="3">
                  <c:v>5.9000000000000021</c:v>
                </c:pt>
                <c:pt idx="4">
                  <c:v>4.4000000000000021</c:v>
                </c:pt>
                <c:pt idx="5">
                  <c:v>5.6000000000000014</c:v>
                </c:pt>
                <c:pt idx="6">
                  <c:v>2.6999999999999993</c:v>
                </c:pt>
                <c:pt idx="7">
                  <c:v>5.3999999999999986</c:v>
                </c:pt>
                <c:pt idx="8">
                  <c:v>3.2000000000000028</c:v>
                </c:pt>
                <c:pt idx="9">
                  <c:v>3.5</c:v>
                </c:pt>
                <c:pt idx="10">
                  <c:v>6.5</c:v>
                </c:pt>
                <c:pt idx="11">
                  <c:v>4.1000000000000014</c:v>
                </c:pt>
                <c:pt idx="12">
                  <c:v>7.6999999999999993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3198336"/>
        <c:axId val="83199872"/>
      </c:barChart>
      <c:catAx>
        <c:axId val="83198336"/>
        <c:scaling>
          <c:orientation val="maxMin"/>
        </c:scaling>
        <c:delete val="0"/>
        <c:axPos val="l"/>
        <c:majorTickMark val="none"/>
        <c:minorTickMark val="none"/>
        <c:tickLblPos val="nextTo"/>
        <c:crossAx val="83199872"/>
        <c:crosses val="autoZero"/>
        <c:auto val="1"/>
        <c:lblAlgn val="ctr"/>
        <c:lblOffset val="100"/>
        <c:noMultiLvlLbl val="0"/>
      </c:catAx>
      <c:valAx>
        <c:axId val="83199872"/>
        <c:scaling>
          <c:orientation val="minMax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i-FI"/>
                  <a:t>Prevalence</a:t>
                </a:r>
                <a:r>
                  <a:rPr lang="fi-FI" baseline="0"/>
                  <a:t> of nonadherence %</a:t>
                </a:r>
                <a:endParaRPr lang="fi-FI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198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Halava</dc:creator>
  <cp:lastModifiedBy>Heli Halava</cp:lastModifiedBy>
  <cp:revision>2</cp:revision>
  <dcterms:created xsi:type="dcterms:W3CDTF">2015-06-03T04:21:00Z</dcterms:created>
  <dcterms:modified xsi:type="dcterms:W3CDTF">2015-06-03T04:21:00Z</dcterms:modified>
</cp:coreProperties>
</file>