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B427" w14:textId="77777777" w:rsidR="006A7E52" w:rsidRPr="00A10E0B" w:rsidRDefault="0075195B" w:rsidP="006A7E52">
      <w:pPr>
        <w:pStyle w:val="Overskrift1"/>
        <w:spacing w:line="240" w:lineRule="auto"/>
      </w:pPr>
      <w:bookmarkStart w:id="0" w:name="_Toc286079799"/>
      <w:r>
        <w:t>S3</w:t>
      </w:r>
      <w:r w:rsidR="006A7E52">
        <w:t xml:space="preserve"> </w:t>
      </w:r>
      <w:r>
        <w:t>Fig</w:t>
      </w:r>
      <w:bookmarkStart w:id="1" w:name="_GoBack"/>
      <w:bookmarkEnd w:id="1"/>
      <w:r w:rsidR="006A7E52">
        <w:t xml:space="preserve">. </w:t>
      </w:r>
      <w:proofErr w:type="gramStart"/>
      <w:r w:rsidR="006A7E52">
        <w:t>Sample distribution of s</w:t>
      </w:r>
      <w:r w:rsidR="006A7E52" w:rsidRPr="00A10E0B">
        <w:t>ympathy towards the Social Democratic Party and the Liberal Party.</w:t>
      </w:r>
      <w:bookmarkEnd w:id="0"/>
      <w:proofErr w:type="gramEnd"/>
    </w:p>
    <w:p w14:paraId="3CFB231F" w14:textId="77777777" w:rsidR="006A7E52" w:rsidRPr="00A10E0B" w:rsidRDefault="006A7E52" w:rsidP="006A7E52">
      <w:pPr>
        <w:rPr>
          <w:rFonts w:ascii="Times New Roman" w:hAnsi="Times New Roman" w:cs="Times New Roman"/>
        </w:rPr>
      </w:pPr>
    </w:p>
    <w:p w14:paraId="097F25EB" w14:textId="77777777" w:rsidR="006A7E52" w:rsidRPr="00A10E0B" w:rsidRDefault="006A7E52" w:rsidP="006A7E52">
      <w:pPr>
        <w:rPr>
          <w:rFonts w:ascii="Times New Roman" w:hAnsi="Times New Roman" w:cs="Times New Roman"/>
        </w:rPr>
      </w:pPr>
      <w:r w:rsidRPr="00A10E0B">
        <w:rPr>
          <w:rFonts w:ascii="Times New Roman" w:hAnsi="Times New Roman" w:cs="Times New Roman"/>
          <w:noProof/>
        </w:rPr>
        <w:drawing>
          <wp:inline distT="0" distB="0" distL="0" distR="0" wp14:anchorId="38811818" wp14:editId="4B86192D">
            <wp:extent cx="5194300" cy="30099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DDE710D" w14:textId="77777777" w:rsidR="006A7E52" w:rsidRDefault="006A7E52" w:rsidP="006A7E52">
      <w:pPr>
        <w:rPr>
          <w:rFonts w:ascii="Times New Roman" w:hAnsi="Times New Roman" w:cs="Times New Roman"/>
        </w:rPr>
      </w:pPr>
    </w:p>
    <w:p w14:paraId="09A3E0E9" w14:textId="77777777" w:rsidR="006A7E52" w:rsidRPr="00A10E0B" w:rsidRDefault="006A7E52" w:rsidP="006A7E52">
      <w:pPr>
        <w:rPr>
          <w:rFonts w:ascii="Times New Roman" w:hAnsi="Times New Roman" w:cs="Times New Roman"/>
        </w:rPr>
      </w:pPr>
      <w:r w:rsidRPr="00A10E0B">
        <w:rPr>
          <w:rFonts w:ascii="Times New Roman" w:hAnsi="Times New Roman" w:cs="Times New Roman"/>
        </w:rPr>
        <w:t>Notes.</w:t>
      </w:r>
      <w:r>
        <w:rPr>
          <w:rFonts w:ascii="Times New Roman" w:hAnsi="Times New Roman" w:cs="Times New Roman"/>
        </w:rPr>
        <w:t xml:space="preserve"> N = 58. The figure shows the distribution of party sympathies in the sample. A higher value indicates higher sympathy. The 'Sympathy towards Party' variable used in the main text equals the score of the sympathy measure for the party sponsoring the proposal in question. In the analyses used in Table A5, the sympathies for the two parties are entered as separate variables. </w:t>
      </w:r>
    </w:p>
    <w:p w14:paraId="6EF7EE62" w14:textId="77777777" w:rsidR="00F36007" w:rsidRDefault="00F36007"/>
    <w:sectPr w:rsidR="00F36007" w:rsidSect="00F360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52"/>
    <w:rsid w:val="006A7E52"/>
    <w:rsid w:val="0075195B"/>
    <w:rsid w:val="00F3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A8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52"/>
  </w:style>
  <w:style w:type="paragraph" w:styleId="Heading1">
    <w:name w:val="heading 1"/>
    <w:basedOn w:val="Normal"/>
    <w:next w:val="Normal"/>
    <w:link w:val="Heading1Char"/>
    <w:uiPriority w:val="9"/>
    <w:qFormat/>
    <w:rsid w:val="006A7E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Char">
    <w:name w:val="Overskrift 1 Char"/>
    <w:basedOn w:val="DefaultParagraphFont"/>
    <w:link w:val="Overskrift1"/>
    <w:rsid w:val="006A7E52"/>
    <w:rPr>
      <w:rFonts w:ascii="Times New Roman" w:eastAsiaTheme="majorEastAsia" w:hAnsi="Times New Roman" w:cs="Times New Roman"/>
      <w:b/>
      <w:bCs/>
      <w:szCs w:val="32"/>
    </w:rPr>
  </w:style>
  <w:style w:type="paragraph" w:customStyle="1" w:styleId="Overskrift1">
    <w:name w:val="Overskrift 1"/>
    <w:basedOn w:val="Heading1"/>
    <w:next w:val="Normal"/>
    <w:link w:val="Overskrift1Char"/>
    <w:qFormat/>
    <w:rsid w:val="006A7E52"/>
    <w:pPr>
      <w:spacing w:line="480" w:lineRule="auto"/>
    </w:pPr>
    <w:rPr>
      <w:rFonts w:ascii="Times New Roman" w:hAnsi="Times New Roman" w:cs="Times New Roman"/>
      <w:color w:val="auto"/>
      <w:sz w:val="24"/>
    </w:rPr>
  </w:style>
  <w:style w:type="character" w:customStyle="1" w:styleId="Heading1Char">
    <w:name w:val="Heading 1 Char"/>
    <w:basedOn w:val="DefaultParagraphFont"/>
    <w:link w:val="Heading1"/>
    <w:uiPriority w:val="9"/>
    <w:rsid w:val="006A7E5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A7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E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52"/>
  </w:style>
  <w:style w:type="paragraph" w:styleId="Heading1">
    <w:name w:val="heading 1"/>
    <w:basedOn w:val="Normal"/>
    <w:next w:val="Normal"/>
    <w:link w:val="Heading1Char"/>
    <w:uiPriority w:val="9"/>
    <w:qFormat/>
    <w:rsid w:val="006A7E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Char">
    <w:name w:val="Overskrift 1 Char"/>
    <w:basedOn w:val="DefaultParagraphFont"/>
    <w:link w:val="Overskrift1"/>
    <w:rsid w:val="006A7E52"/>
    <w:rPr>
      <w:rFonts w:ascii="Times New Roman" w:eastAsiaTheme="majorEastAsia" w:hAnsi="Times New Roman" w:cs="Times New Roman"/>
      <w:b/>
      <w:bCs/>
      <w:szCs w:val="32"/>
    </w:rPr>
  </w:style>
  <w:style w:type="paragraph" w:customStyle="1" w:styleId="Overskrift1">
    <w:name w:val="Overskrift 1"/>
    <w:basedOn w:val="Heading1"/>
    <w:next w:val="Normal"/>
    <w:link w:val="Overskrift1Char"/>
    <w:qFormat/>
    <w:rsid w:val="006A7E52"/>
    <w:pPr>
      <w:spacing w:line="480" w:lineRule="auto"/>
    </w:pPr>
    <w:rPr>
      <w:rFonts w:ascii="Times New Roman" w:hAnsi="Times New Roman" w:cs="Times New Roman"/>
      <w:color w:val="auto"/>
      <w:sz w:val="24"/>
    </w:rPr>
  </w:style>
  <w:style w:type="character" w:customStyle="1" w:styleId="Heading1Char">
    <w:name w:val="Heading 1 Char"/>
    <w:basedOn w:val="DefaultParagraphFont"/>
    <w:link w:val="Heading1"/>
    <w:uiPriority w:val="9"/>
    <w:rsid w:val="006A7E5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A7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E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chael.Bang.Petersen:Dropbox:Skin%20conductance%20studie:R&amp;R:Graf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Sheet1!$G$16</c:f>
              <c:strCache>
                <c:ptCount val="1"/>
                <c:pt idx="0">
                  <c:v>Sympathy with the Social Democratic Party</c:v>
                </c:pt>
              </c:strCache>
            </c:strRef>
          </c:tx>
          <c:spPr>
            <a:ln>
              <a:solidFill>
                <a:schemeClr val="tx1"/>
              </a:solidFill>
            </a:ln>
          </c:spPr>
          <c:marker>
            <c:symbol val="none"/>
          </c:marker>
          <c:cat>
            <c:numRef>
              <c:f>Sheet1!$F$17:$F$27</c:f>
              <c:numCache>
                <c:formatCode>General</c:formatCode>
                <c:ptCount val="11"/>
                <c:pt idx="0">
                  <c:v>0.0</c:v>
                </c:pt>
                <c:pt idx="1">
                  <c:v>0.1</c:v>
                </c:pt>
                <c:pt idx="2">
                  <c:v>0.2</c:v>
                </c:pt>
                <c:pt idx="3">
                  <c:v>0.3</c:v>
                </c:pt>
                <c:pt idx="4">
                  <c:v>0.4</c:v>
                </c:pt>
                <c:pt idx="5">
                  <c:v>0.5</c:v>
                </c:pt>
                <c:pt idx="6">
                  <c:v>0.6</c:v>
                </c:pt>
                <c:pt idx="7">
                  <c:v>0.7</c:v>
                </c:pt>
                <c:pt idx="8">
                  <c:v>0.8</c:v>
                </c:pt>
                <c:pt idx="9">
                  <c:v>0.09</c:v>
                </c:pt>
                <c:pt idx="10">
                  <c:v>1.0</c:v>
                </c:pt>
              </c:numCache>
            </c:numRef>
          </c:cat>
          <c:val>
            <c:numRef>
              <c:f>Sheet1!$G$17:$G$27</c:f>
              <c:numCache>
                <c:formatCode>General</c:formatCode>
                <c:ptCount val="11"/>
                <c:pt idx="0">
                  <c:v>0.0</c:v>
                </c:pt>
                <c:pt idx="1">
                  <c:v>8.62</c:v>
                </c:pt>
                <c:pt idx="2">
                  <c:v>8.62</c:v>
                </c:pt>
                <c:pt idx="3">
                  <c:v>15.52</c:v>
                </c:pt>
                <c:pt idx="4">
                  <c:v>12.07</c:v>
                </c:pt>
                <c:pt idx="5">
                  <c:v>12.07</c:v>
                </c:pt>
                <c:pt idx="6">
                  <c:v>17.24</c:v>
                </c:pt>
                <c:pt idx="7">
                  <c:v>17.24</c:v>
                </c:pt>
                <c:pt idx="8">
                  <c:v>5.17</c:v>
                </c:pt>
                <c:pt idx="9">
                  <c:v>0.0</c:v>
                </c:pt>
                <c:pt idx="10">
                  <c:v>3.45</c:v>
                </c:pt>
              </c:numCache>
            </c:numRef>
          </c:val>
          <c:smooth val="0"/>
        </c:ser>
        <c:ser>
          <c:idx val="1"/>
          <c:order val="1"/>
          <c:tx>
            <c:strRef>
              <c:f>Sheet1!$H$16</c:f>
              <c:strCache>
                <c:ptCount val="1"/>
                <c:pt idx="0">
                  <c:v>Sympathy with the Liberal Party</c:v>
                </c:pt>
              </c:strCache>
            </c:strRef>
          </c:tx>
          <c:spPr>
            <a:ln>
              <a:solidFill>
                <a:schemeClr val="bg1">
                  <a:lumMod val="50000"/>
                </a:schemeClr>
              </a:solidFill>
            </a:ln>
          </c:spPr>
          <c:marker>
            <c:symbol val="none"/>
          </c:marker>
          <c:cat>
            <c:numRef>
              <c:f>Sheet1!$F$17:$F$27</c:f>
              <c:numCache>
                <c:formatCode>General</c:formatCode>
                <c:ptCount val="11"/>
                <c:pt idx="0">
                  <c:v>0.0</c:v>
                </c:pt>
                <c:pt idx="1">
                  <c:v>0.1</c:v>
                </c:pt>
                <c:pt idx="2">
                  <c:v>0.2</c:v>
                </c:pt>
                <c:pt idx="3">
                  <c:v>0.3</c:v>
                </c:pt>
                <c:pt idx="4">
                  <c:v>0.4</c:v>
                </c:pt>
                <c:pt idx="5">
                  <c:v>0.5</c:v>
                </c:pt>
                <c:pt idx="6">
                  <c:v>0.6</c:v>
                </c:pt>
                <c:pt idx="7">
                  <c:v>0.7</c:v>
                </c:pt>
                <c:pt idx="8">
                  <c:v>0.8</c:v>
                </c:pt>
                <c:pt idx="9">
                  <c:v>0.09</c:v>
                </c:pt>
                <c:pt idx="10">
                  <c:v>1.0</c:v>
                </c:pt>
              </c:numCache>
            </c:numRef>
          </c:cat>
          <c:val>
            <c:numRef>
              <c:f>Sheet1!$H$17:$H$27</c:f>
              <c:numCache>
                <c:formatCode>General</c:formatCode>
                <c:ptCount val="11"/>
                <c:pt idx="0">
                  <c:v>10.34</c:v>
                </c:pt>
                <c:pt idx="1">
                  <c:v>5.17</c:v>
                </c:pt>
                <c:pt idx="2">
                  <c:v>5.17</c:v>
                </c:pt>
                <c:pt idx="3">
                  <c:v>6.9</c:v>
                </c:pt>
                <c:pt idx="4">
                  <c:v>17.24</c:v>
                </c:pt>
                <c:pt idx="5">
                  <c:v>8.62</c:v>
                </c:pt>
                <c:pt idx="6">
                  <c:v>6.9</c:v>
                </c:pt>
                <c:pt idx="7">
                  <c:v>10.34</c:v>
                </c:pt>
                <c:pt idx="8">
                  <c:v>15.52</c:v>
                </c:pt>
                <c:pt idx="9">
                  <c:v>8.62</c:v>
                </c:pt>
                <c:pt idx="10">
                  <c:v>5.17</c:v>
                </c:pt>
              </c:numCache>
            </c:numRef>
          </c:val>
          <c:smooth val="0"/>
        </c:ser>
        <c:dLbls>
          <c:showLegendKey val="0"/>
          <c:showVal val="0"/>
          <c:showCatName val="0"/>
          <c:showSerName val="0"/>
          <c:showPercent val="0"/>
          <c:showBubbleSize val="0"/>
        </c:dLbls>
        <c:marker val="1"/>
        <c:smooth val="0"/>
        <c:axId val="-2070581432"/>
        <c:axId val="-2072253096"/>
      </c:lineChart>
      <c:catAx>
        <c:axId val="-2070581432"/>
        <c:scaling>
          <c:orientation val="minMax"/>
        </c:scaling>
        <c:delete val="0"/>
        <c:axPos val="b"/>
        <c:title>
          <c:tx>
            <c:rich>
              <a:bodyPr/>
              <a:lstStyle/>
              <a:p>
                <a:pPr>
                  <a:defRPr/>
                </a:pPr>
                <a:r>
                  <a:rPr lang="en-US"/>
                  <a:t>Sympathy towards Party</a:t>
                </a:r>
              </a:p>
            </c:rich>
          </c:tx>
          <c:layout/>
          <c:overlay val="0"/>
        </c:title>
        <c:numFmt formatCode="General" sourceLinked="1"/>
        <c:majorTickMark val="out"/>
        <c:minorTickMark val="none"/>
        <c:tickLblPos val="nextTo"/>
        <c:crossAx val="-2072253096"/>
        <c:crosses val="autoZero"/>
        <c:auto val="1"/>
        <c:lblAlgn val="ctr"/>
        <c:lblOffset val="100"/>
        <c:noMultiLvlLbl val="0"/>
      </c:catAx>
      <c:valAx>
        <c:axId val="-2072253096"/>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2070581432"/>
        <c:crosses val="autoZero"/>
        <c:crossBetween val="between"/>
      </c:valAx>
    </c:plotArea>
    <c:legend>
      <c:legendPos val="b"/>
      <c:layout/>
      <c:overlay val="0"/>
    </c:legend>
    <c:plotVisOnly val="1"/>
    <c:dispBlanksAs val="gap"/>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Macintosh Word</Application>
  <DocSecurity>0</DocSecurity>
  <Lines>3</Lines>
  <Paragraphs>1</Paragraphs>
  <ScaleCrop>false</ScaleCrop>
  <Company>Aarhus University</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Bang Petersen</dc:creator>
  <cp:keywords/>
  <dc:description/>
  <cp:lastModifiedBy>Michael Bang Petersen</cp:lastModifiedBy>
  <cp:revision>2</cp:revision>
  <dcterms:created xsi:type="dcterms:W3CDTF">2015-02-20T18:50:00Z</dcterms:created>
  <dcterms:modified xsi:type="dcterms:W3CDTF">2015-04-28T21:01:00Z</dcterms:modified>
</cp:coreProperties>
</file>