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46" w:rsidRPr="006A62B8" w:rsidRDefault="00A25C46" w:rsidP="0079103D">
      <w:pPr>
        <w:pStyle w:val="Heading1"/>
        <w:ind w:left="-90"/>
        <w:rPr>
          <w:sz w:val="36"/>
        </w:rPr>
      </w:pPr>
      <w:bookmarkStart w:id="0" w:name="_Toc365268077"/>
      <w:r w:rsidRPr="006A62B8">
        <w:rPr>
          <w:sz w:val="36"/>
        </w:rPr>
        <w:t>Table S2. Randomization of hou</w:t>
      </w:r>
      <w:bookmarkStart w:id="1" w:name="_GoBack"/>
      <w:bookmarkEnd w:id="1"/>
      <w:r w:rsidRPr="006A62B8">
        <w:rPr>
          <w:sz w:val="36"/>
        </w:rPr>
        <w:t>sehold compounds, and exclusion of compounds and household members</w:t>
      </w:r>
      <w:bookmarkEnd w:id="0"/>
    </w:p>
    <w:tbl>
      <w:tblPr>
        <w:tblStyle w:val="TableGrid"/>
        <w:tblW w:w="15355" w:type="dxa"/>
        <w:tblInd w:w="-455" w:type="dxa"/>
        <w:tblLook w:val="04A0" w:firstRow="1" w:lastRow="0" w:firstColumn="1" w:lastColumn="0" w:noHBand="0" w:noVBand="1"/>
      </w:tblPr>
      <w:tblGrid>
        <w:gridCol w:w="4633"/>
        <w:gridCol w:w="1328"/>
        <w:gridCol w:w="1436"/>
        <w:gridCol w:w="1527"/>
        <w:gridCol w:w="1286"/>
        <w:gridCol w:w="1328"/>
        <w:gridCol w:w="1338"/>
        <w:gridCol w:w="1350"/>
        <w:gridCol w:w="1129"/>
      </w:tblGrid>
      <w:tr w:rsidR="00A25C46" w:rsidTr="0079103D">
        <w:trPr>
          <w:trHeight w:val="247"/>
        </w:trPr>
        <w:tc>
          <w:tcPr>
            <w:tcW w:w="4633" w:type="dxa"/>
          </w:tcPr>
          <w:p w:rsidR="00A25C46" w:rsidRDefault="00A25C46" w:rsidP="00CF5547"/>
        </w:tc>
        <w:tc>
          <w:tcPr>
            <w:tcW w:w="2764" w:type="dxa"/>
            <w:gridSpan w:val="2"/>
            <w:tcBorders>
              <w:right w:val="single" w:sz="12" w:space="0" w:color="auto"/>
            </w:tcBorders>
          </w:tcPr>
          <w:p w:rsidR="00A25C46" w:rsidRPr="006A66EF" w:rsidRDefault="00A25C46" w:rsidP="00CF5547">
            <w:pPr>
              <w:jc w:val="center"/>
              <w:rPr>
                <w:b/>
              </w:rPr>
            </w:pPr>
            <w:r w:rsidRPr="006A66EF">
              <w:rPr>
                <w:b/>
              </w:rPr>
              <w:t>Total</w:t>
            </w:r>
          </w:p>
        </w:tc>
        <w:tc>
          <w:tcPr>
            <w:tcW w:w="28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C46" w:rsidRPr="006A66EF" w:rsidRDefault="00A25C46" w:rsidP="00CF5547">
            <w:pPr>
              <w:jc w:val="center"/>
              <w:rPr>
                <w:b/>
              </w:rPr>
            </w:pPr>
            <w:r w:rsidRPr="006A66EF">
              <w:rPr>
                <w:b/>
              </w:rPr>
              <w:t>Phase 1</w:t>
            </w:r>
          </w:p>
        </w:tc>
        <w:tc>
          <w:tcPr>
            <w:tcW w:w="2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C46" w:rsidRPr="006A66EF" w:rsidRDefault="00A25C46" w:rsidP="00CF5547">
            <w:pPr>
              <w:jc w:val="center"/>
              <w:rPr>
                <w:b/>
              </w:rPr>
            </w:pPr>
            <w:r w:rsidRPr="006A66EF">
              <w:rPr>
                <w:b/>
              </w:rPr>
              <w:t>Phase 2</w:t>
            </w:r>
          </w:p>
        </w:tc>
        <w:tc>
          <w:tcPr>
            <w:tcW w:w="2479" w:type="dxa"/>
            <w:gridSpan w:val="2"/>
            <w:tcBorders>
              <w:left w:val="single" w:sz="12" w:space="0" w:color="auto"/>
            </w:tcBorders>
          </w:tcPr>
          <w:p w:rsidR="00A25C46" w:rsidRPr="006A66EF" w:rsidRDefault="00A25C46" w:rsidP="00CF5547">
            <w:pPr>
              <w:jc w:val="center"/>
              <w:rPr>
                <w:b/>
              </w:rPr>
            </w:pPr>
            <w:r w:rsidRPr="006A66EF">
              <w:rPr>
                <w:b/>
              </w:rPr>
              <w:t>Phase 3</w:t>
            </w:r>
          </w:p>
        </w:tc>
      </w:tr>
      <w:tr w:rsidR="00A25C46" w:rsidTr="0079103D">
        <w:trPr>
          <w:trHeight w:val="247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</w:tr>
      <w:tr w:rsidR="00A25C46" w:rsidTr="0079103D">
        <w:trPr>
          <w:trHeight w:val="526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Number of household compounds randomized</w:t>
            </w:r>
          </w:p>
        </w:tc>
        <w:tc>
          <w:tcPr>
            <w:tcW w:w="1328" w:type="dxa"/>
          </w:tcPr>
          <w:p w:rsidR="00A25C46" w:rsidDel="00ED5E2B" w:rsidRDefault="00A25C46" w:rsidP="00CF5547">
            <w:pPr>
              <w:jc w:val="center"/>
            </w:pPr>
            <w:r>
              <w:t>195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186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22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65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104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103</w:t>
            </w:r>
          </w:p>
        </w:tc>
      </w:tr>
      <w:tr w:rsidR="00A25C46" w:rsidTr="0079103D">
        <w:trPr>
          <w:trHeight w:val="791"/>
        </w:trPr>
        <w:tc>
          <w:tcPr>
            <w:tcW w:w="4633" w:type="dxa"/>
          </w:tcPr>
          <w:p w:rsidR="00A25C46" w:rsidRDefault="00A25C46" w:rsidP="00CF5547">
            <w:r>
              <w:rPr>
                <w:b/>
              </w:rPr>
              <w:t>Number of household compounds remaining after withdrawals / exclusions after randomization* (explanation in footnote)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193 / 195</w:t>
            </w:r>
          </w:p>
          <w:p w:rsidR="00A25C46" w:rsidRDefault="00A25C46" w:rsidP="00CF5547">
            <w:pPr>
              <w:jc w:val="center"/>
            </w:pPr>
            <w:r>
              <w:t>(99%)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184/186</w:t>
            </w:r>
          </w:p>
          <w:p w:rsidR="00A25C46" w:rsidRDefault="00A25C46" w:rsidP="00CF5547">
            <w:pPr>
              <w:jc w:val="center"/>
            </w:pPr>
            <w:r>
              <w:t>(99%)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22/22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18/18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69/69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63/65</w:t>
            </w:r>
          </w:p>
          <w:p w:rsidR="00A25C46" w:rsidRDefault="00A25C46" w:rsidP="00CF5547">
            <w:pPr>
              <w:jc w:val="center"/>
            </w:pPr>
            <w:r>
              <w:t>(97%)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102/104</w:t>
            </w:r>
            <w:r>
              <w:br/>
              <w:t>(98%)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103/103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</w:tr>
      <w:tr w:rsidR="00A25C46" w:rsidTr="0079103D">
        <w:trPr>
          <w:trHeight w:val="1061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Number of household compound members enumerated in compounds after removal of withdrawn / excluded compounds (not including index case-patient)</w:t>
            </w:r>
          </w:p>
        </w:tc>
        <w:tc>
          <w:tcPr>
            <w:tcW w:w="1328" w:type="dxa"/>
          </w:tcPr>
          <w:p w:rsidR="00A25C46" w:rsidDel="00ED5E2B" w:rsidRDefault="00A25C46" w:rsidP="00CF5547">
            <w:pPr>
              <w:jc w:val="center"/>
            </w:pPr>
            <w:r>
              <w:t>1814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1607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184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178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617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479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1013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950</w:t>
            </w:r>
          </w:p>
        </w:tc>
      </w:tr>
      <w:tr w:rsidR="00A25C46" w:rsidTr="0079103D">
        <w:trPr>
          <w:trHeight w:val="510"/>
        </w:trPr>
        <w:tc>
          <w:tcPr>
            <w:tcW w:w="4633" w:type="dxa"/>
          </w:tcPr>
          <w:p w:rsidR="00A25C46" w:rsidDel="00B21B63" w:rsidRDefault="00A25C46" w:rsidP="00CF5547">
            <w:pPr>
              <w:rPr>
                <w:b/>
              </w:rPr>
            </w:pPr>
            <w:r>
              <w:rPr>
                <w:b/>
              </w:rPr>
              <w:t>Number of compound members with fever at enrollment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78 / 1814</w:t>
            </w:r>
          </w:p>
          <w:p w:rsidR="00A25C46" w:rsidDel="00ED5E2B" w:rsidRDefault="00A25C46" w:rsidP="00CF5547">
            <w:pPr>
              <w:jc w:val="center"/>
            </w:pPr>
            <w:r>
              <w:t>(4%)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53/1607</w:t>
            </w:r>
          </w:p>
          <w:p w:rsidR="00A25C46" w:rsidRDefault="00A25C46" w:rsidP="00CF5547">
            <w:pPr>
              <w:jc w:val="center"/>
            </w:pPr>
            <w:r>
              <w:t>(3%)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0/184</w:t>
            </w:r>
          </w:p>
          <w:p w:rsidR="00A25C46" w:rsidRDefault="00A25C46" w:rsidP="00CF5547">
            <w:pPr>
              <w:jc w:val="center"/>
            </w:pPr>
            <w:r>
              <w:t>(0%)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A25C46" w:rsidRDefault="00A25C46" w:rsidP="00CF5547">
            <w:pPr>
              <w:jc w:val="center"/>
            </w:pPr>
            <w:r>
              <w:t>0/178</w:t>
            </w:r>
          </w:p>
          <w:p w:rsidR="00A25C46" w:rsidRDefault="00A25C46" w:rsidP="00CF5547">
            <w:pPr>
              <w:jc w:val="center"/>
            </w:pPr>
            <w:r>
              <w:t>(0%)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66/617</w:t>
            </w:r>
          </w:p>
          <w:p w:rsidR="00A25C46" w:rsidRDefault="00A25C46" w:rsidP="00CF5547">
            <w:pPr>
              <w:jc w:val="center"/>
            </w:pPr>
            <w:r>
              <w:t>(11%)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46/479</w:t>
            </w:r>
          </w:p>
          <w:p w:rsidR="00A25C46" w:rsidRDefault="00A25C46" w:rsidP="00CF5547">
            <w:pPr>
              <w:jc w:val="center"/>
            </w:pPr>
            <w:r>
              <w:t>(10%)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12/1013</w:t>
            </w:r>
          </w:p>
          <w:p w:rsidR="00A25C46" w:rsidRDefault="00A25C46" w:rsidP="00CF5547">
            <w:pPr>
              <w:jc w:val="center"/>
            </w:pPr>
            <w:r>
              <w:t>(1%)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7/950</w:t>
            </w:r>
          </w:p>
          <w:p w:rsidR="00A25C46" w:rsidRDefault="00A25C46" w:rsidP="00CF5547">
            <w:pPr>
              <w:jc w:val="center"/>
            </w:pPr>
            <w:r>
              <w:t>(1%)</w:t>
            </w:r>
          </w:p>
        </w:tc>
      </w:tr>
      <w:tr w:rsidR="00A25C46" w:rsidTr="0079103D">
        <w:trPr>
          <w:trHeight w:val="323"/>
        </w:trPr>
        <w:tc>
          <w:tcPr>
            <w:tcW w:w="4633" w:type="dxa"/>
          </w:tcPr>
          <w:p w:rsidR="00A25C46" w:rsidDel="00B21B63" w:rsidRDefault="00A25C46" w:rsidP="00CF5547">
            <w:pPr>
              <w:rPr>
                <w:b/>
              </w:rPr>
            </w:pPr>
            <w:r>
              <w:rPr>
                <w:b/>
              </w:rPr>
              <w:t>Number of susceptible c</w:t>
            </w:r>
            <w:r w:rsidRPr="00B479F6">
              <w:rPr>
                <w:b/>
              </w:rPr>
              <w:t xml:space="preserve">ompound </w:t>
            </w:r>
            <w:r>
              <w:rPr>
                <w:b/>
              </w:rPr>
              <w:t>members</w:t>
            </w:r>
          </w:p>
        </w:tc>
        <w:tc>
          <w:tcPr>
            <w:tcW w:w="1328" w:type="dxa"/>
          </w:tcPr>
          <w:p w:rsidR="00A25C46" w:rsidDel="00ED5E2B" w:rsidRDefault="00A25C46" w:rsidP="00CF5547">
            <w:pPr>
              <w:jc w:val="center"/>
            </w:pPr>
            <w:r>
              <w:t>1736 / 1814 (96%)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1554/1607</w:t>
            </w:r>
          </w:p>
          <w:p w:rsidR="00A25C46" w:rsidRDefault="00A25C46" w:rsidP="00CF5547">
            <w:pPr>
              <w:jc w:val="center"/>
            </w:pPr>
            <w:r>
              <w:t>(97%)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184/184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178/178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tabs>
                <w:tab w:val="left" w:pos="388"/>
                <w:tab w:val="center" w:pos="603"/>
              </w:tabs>
              <w:jc w:val="center"/>
            </w:pPr>
            <w:r>
              <w:t>551/617</w:t>
            </w:r>
          </w:p>
          <w:p w:rsidR="00A25C46" w:rsidRDefault="00A25C46" w:rsidP="00CF5547">
            <w:pPr>
              <w:tabs>
                <w:tab w:val="left" w:pos="388"/>
                <w:tab w:val="center" w:pos="603"/>
              </w:tabs>
              <w:jc w:val="center"/>
            </w:pPr>
            <w:r>
              <w:t>(89%)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433/479</w:t>
            </w:r>
          </w:p>
          <w:p w:rsidR="00A25C46" w:rsidRDefault="00A25C46" w:rsidP="00CF5547">
            <w:pPr>
              <w:jc w:val="center"/>
            </w:pPr>
            <w:r>
              <w:t>(90%)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1001/1013</w:t>
            </w:r>
          </w:p>
          <w:p w:rsidR="00A25C46" w:rsidRDefault="00A25C46" w:rsidP="00CF5547">
            <w:pPr>
              <w:jc w:val="center"/>
            </w:pPr>
            <w:r>
              <w:t>(99%)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943/950</w:t>
            </w:r>
          </w:p>
          <w:p w:rsidR="00A25C46" w:rsidRDefault="00A25C46" w:rsidP="00CF5547">
            <w:pPr>
              <w:jc w:val="center"/>
            </w:pPr>
            <w:r>
              <w:t>(99%)</w:t>
            </w:r>
          </w:p>
        </w:tc>
      </w:tr>
      <w:tr w:rsidR="00A25C46" w:rsidTr="0079103D">
        <w:trPr>
          <w:trHeight w:val="620"/>
        </w:trPr>
        <w:tc>
          <w:tcPr>
            <w:tcW w:w="4633" w:type="dxa"/>
          </w:tcPr>
          <w:p w:rsidR="00A25C46" w:rsidDel="00B21B63" w:rsidRDefault="00A25C46" w:rsidP="00CF5547">
            <w:pPr>
              <w:rPr>
                <w:b/>
              </w:rPr>
            </w:pPr>
            <w:r>
              <w:rPr>
                <w:b/>
              </w:rPr>
              <w:t>Number of susceptible compound members without syndromic surveillance data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75/1736</w:t>
            </w:r>
          </w:p>
          <w:p w:rsidR="00A25C46" w:rsidRDefault="00A25C46" w:rsidP="00CF5547">
            <w:pPr>
              <w:jc w:val="center"/>
            </w:pPr>
            <w:r>
              <w:t>(4%)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56/1554</w:t>
            </w:r>
          </w:p>
          <w:p w:rsidR="00A25C46" w:rsidRDefault="00A25C46" w:rsidP="00CF5547">
            <w:pPr>
              <w:jc w:val="center"/>
            </w:pPr>
            <w:r>
              <w:t>(4%)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5/184</w:t>
            </w:r>
          </w:p>
          <w:p w:rsidR="00A25C46" w:rsidDel="00143625" w:rsidRDefault="00A25C46" w:rsidP="00CF5547">
            <w:pPr>
              <w:jc w:val="center"/>
            </w:pPr>
            <w:r>
              <w:t>(3%)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2/178</w:t>
            </w:r>
          </w:p>
          <w:p w:rsidR="00A25C46" w:rsidRDefault="00A25C46" w:rsidP="00CF5547">
            <w:pPr>
              <w:jc w:val="center"/>
            </w:pPr>
            <w:r>
              <w:t>(1%)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3/551</w:t>
            </w:r>
          </w:p>
          <w:p w:rsidR="00A25C46" w:rsidRDefault="00A25C46" w:rsidP="00CF5547">
            <w:pPr>
              <w:jc w:val="center"/>
            </w:pPr>
            <w:r>
              <w:t>(1%)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1/433</w:t>
            </w:r>
          </w:p>
          <w:p w:rsidR="00A25C46" w:rsidRDefault="00A25C46" w:rsidP="00CF5547">
            <w:pPr>
              <w:jc w:val="center"/>
            </w:pPr>
            <w:r>
              <w:t>(0%)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67/1001</w:t>
            </w:r>
          </w:p>
          <w:p w:rsidR="00A25C46" w:rsidRDefault="00A25C46" w:rsidP="00CF5547">
            <w:pPr>
              <w:jc w:val="center"/>
            </w:pPr>
            <w:r>
              <w:t>(7%)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53/943</w:t>
            </w:r>
          </w:p>
          <w:p w:rsidR="00A25C46" w:rsidRDefault="00A25C46" w:rsidP="00CF5547">
            <w:pPr>
              <w:jc w:val="center"/>
            </w:pPr>
            <w:r>
              <w:t>(6%)</w:t>
            </w:r>
          </w:p>
        </w:tc>
      </w:tr>
      <w:tr w:rsidR="00A25C46" w:rsidTr="0079103D">
        <w:trPr>
          <w:trHeight w:val="764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 xml:space="preserve">Number of susceptible compound members with syndromic surveillance information for </w:t>
            </w:r>
            <w:r>
              <w:rPr>
                <w:b/>
                <w:u w:val="single"/>
              </w:rPr>
              <w:t>&gt;</w:t>
            </w:r>
            <w:r>
              <w:rPr>
                <w:b/>
              </w:rPr>
              <w:t>1 days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1661/1736</w:t>
            </w:r>
          </w:p>
          <w:p w:rsidR="00A25C46" w:rsidRDefault="00A25C46" w:rsidP="00CF5547">
            <w:pPr>
              <w:jc w:val="center"/>
            </w:pPr>
            <w:r>
              <w:t>(96%)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1498/1554</w:t>
            </w:r>
          </w:p>
          <w:p w:rsidR="00A25C46" w:rsidRDefault="00A25C46" w:rsidP="00CF5547">
            <w:pPr>
              <w:jc w:val="center"/>
            </w:pPr>
            <w:r>
              <w:t>(96%)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179/184</w:t>
            </w:r>
          </w:p>
          <w:p w:rsidR="00A25C46" w:rsidRDefault="00A25C46" w:rsidP="00CF5547">
            <w:pPr>
              <w:jc w:val="center"/>
            </w:pPr>
            <w:r>
              <w:t>(97%)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176/178</w:t>
            </w:r>
          </w:p>
          <w:p w:rsidR="00A25C46" w:rsidRDefault="00A25C46" w:rsidP="00CF5547">
            <w:pPr>
              <w:jc w:val="center"/>
            </w:pPr>
            <w:r>
              <w:t>(99%)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548/551</w:t>
            </w:r>
          </w:p>
          <w:p w:rsidR="00A25C46" w:rsidRDefault="00A25C46" w:rsidP="00CF5547">
            <w:pPr>
              <w:jc w:val="center"/>
            </w:pPr>
            <w:r>
              <w:t>(99%)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432/433</w:t>
            </w:r>
          </w:p>
          <w:p w:rsidR="00A25C46" w:rsidRDefault="00A25C46" w:rsidP="00CF5547">
            <w:pPr>
              <w:jc w:val="center"/>
            </w:pPr>
            <w:r>
              <w:t>(100%)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934/1001</w:t>
            </w:r>
          </w:p>
          <w:p w:rsidR="00A25C46" w:rsidRDefault="00A25C46" w:rsidP="00CF5547">
            <w:pPr>
              <w:jc w:val="center"/>
            </w:pPr>
            <w:r>
              <w:t>(93%)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890/943</w:t>
            </w:r>
          </w:p>
          <w:p w:rsidR="00A25C46" w:rsidRDefault="00A25C46" w:rsidP="00CF5547">
            <w:pPr>
              <w:jc w:val="center"/>
            </w:pPr>
            <w:r>
              <w:t>(94%)</w:t>
            </w:r>
          </w:p>
        </w:tc>
      </w:tr>
      <w:tr w:rsidR="00A25C46" w:rsidTr="0079103D">
        <w:trPr>
          <w:trHeight w:val="510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Number of susceptible members in index case-patient households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863/1661</w:t>
            </w:r>
          </w:p>
          <w:p w:rsidR="00A25C46" w:rsidRDefault="00A25C46" w:rsidP="00CF5547">
            <w:pPr>
              <w:jc w:val="center"/>
            </w:pPr>
            <w:r>
              <w:t>(52%)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727/1498</w:t>
            </w:r>
          </w:p>
          <w:p w:rsidR="00A25C46" w:rsidRDefault="00A25C46" w:rsidP="00CF5547">
            <w:pPr>
              <w:jc w:val="center"/>
            </w:pPr>
            <w:r>
              <w:t>(49%)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95/179</w:t>
            </w:r>
          </w:p>
          <w:p w:rsidR="00A25C46" w:rsidRDefault="00A25C46" w:rsidP="00CF5547">
            <w:pPr>
              <w:jc w:val="center"/>
            </w:pPr>
            <w:r>
              <w:t>(53%)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89/176</w:t>
            </w:r>
          </w:p>
          <w:p w:rsidR="00A25C46" w:rsidRDefault="00A25C46" w:rsidP="00CF5547">
            <w:pPr>
              <w:jc w:val="center"/>
            </w:pPr>
            <w:r>
              <w:t>(51%)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284/548</w:t>
            </w:r>
          </w:p>
          <w:p w:rsidR="00A25C46" w:rsidRDefault="00A25C46" w:rsidP="00CF5547">
            <w:pPr>
              <w:jc w:val="center"/>
            </w:pPr>
            <w:r>
              <w:t>(52%)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224/432</w:t>
            </w:r>
          </w:p>
          <w:p w:rsidR="00A25C46" w:rsidRDefault="00A25C46" w:rsidP="00CF5547">
            <w:pPr>
              <w:jc w:val="center"/>
            </w:pPr>
            <w:r>
              <w:t>(52%)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484/934</w:t>
            </w:r>
          </w:p>
          <w:p w:rsidR="00A25C46" w:rsidRDefault="00A25C46" w:rsidP="00CF5547">
            <w:pPr>
              <w:jc w:val="center"/>
            </w:pPr>
            <w:r>
              <w:t>(52%)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414/890</w:t>
            </w:r>
          </w:p>
          <w:p w:rsidR="00A25C46" w:rsidRDefault="00A25C46" w:rsidP="00CF5547">
            <w:pPr>
              <w:jc w:val="center"/>
            </w:pPr>
            <w:r>
              <w:t>(47%)</w:t>
            </w:r>
          </w:p>
        </w:tc>
      </w:tr>
      <w:tr w:rsidR="00A25C46" w:rsidTr="0079103D">
        <w:trPr>
          <w:trHeight w:val="510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Number of susceptible members in other households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798/1661</w:t>
            </w:r>
          </w:p>
          <w:p w:rsidR="00A25C46" w:rsidRDefault="00A25C46" w:rsidP="00CF5547">
            <w:pPr>
              <w:jc w:val="center"/>
            </w:pPr>
            <w:r>
              <w:t>(48%)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771/1498</w:t>
            </w:r>
          </w:p>
          <w:p w:rsidR="00A25C46" w:rsidRDefault="00A25C46" w:rsidP="00CF5547">
            <w:pPr>
              <w:jc w:val="center"/>
            </w:pPr>
            <w:r>
              <w:t>(51%)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84/179</w:t>
            </w:r>
          </w:p>
          <w:p w:rsidR="00A25C46" w:rsidRDefault="00A25C46" w:rsidP="00CF5547">
            <w:pPr>
              <w:jc w:val="center"/>
            </w:pPr>
            <w:r>
              <w:t>(47%)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87/176</w:t>
            </w:r>
          </w:p>
          <w:p w:rsidR="00A25C46" w:rsidRDefault="00A25C46" w:rsidP="00CF5547">
            <w:pPr>
              <w:jc w:val="center"/>
            </w:pPr>
            <w:r>
              <w:t>(49%)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264/548</w:t>
            </w:r>
          </w:p>
          <w:p w:rsidR="00A25C46" w:rsidRDefault="00A25C46" w:rsidP="00CF5547">
            <w:pPr>
              <w:jc w:val="center"/>
            </w:pPr>
            <w:r>
              <w:t>(48%)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208/432</w:t>
            </w:r>
          </w:p>
          <w:p w:rsidR="00A25C46" w:rsidRDefault="00A25C46" w:rsidP="00CF5547">
            <w:pPr>
              <w:jc w:val="center"/>
            </w:pPr>
            <w:r>
              <w:t>(48%)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450/934</w:t>
            </w:r>
          </w:p>
          <w:p w:rsidR="00A25C46" w:rsidRDefault="00A25C46" w:rsidP="00CF5547">
            <w:pPr>
              <w:jc w:val="center"/>
            </w:pPr>
            <w:r>
              <w:t>(48%)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476/890</w:t>
            </w:r>
          </w:p>
          <w:p w:rsidR="00A25C46" w:rsidRDefault="00A25C46" w:rsidP="00CF5547">
            <w:pPr>
              <w:jc w:val="center"/>
            </w:pPr>
            <w:r>
              <w:t>(53%)</w:t>
            </w:r>
          </w:p>
        </w:tc>
      </w:tr>
      <w:tr w:rsidR="00A25C46" w:rsidTr="0079103D">
        <w:trPr>
          <w:trHeight w:val="247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</w:p>
        </w:tc>
      </w:tr>
      <w:tr w:rsidR="00A25C46" w:rsidTr="0079103D">
        <w:trPr>
          <w:trHeight w:val="593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Number of index case-patients with PCR-confirmed influenza (% of total randomized)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24/193</w:t>
            </w:r>
          </w:p>
          <w:p w:rsidR="00A25C46" w:rsidRDefault="00A25C46" w:rsidP="00CF5547">
            <w:pPr>
              <w:jc w:val="center"/>
            </w:pPr>
            <w:r>
              <w:t>(12%)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36/184</w:t>
            </w:r>
          </w:p>
          <w:p w:rsidR="00A25C46" w:rsidRDefault="00A25C46" w:rsidP="00CF5547">
            <w:pPr>
              <w:jc w:val="center"/>
            </w:pPr>
            <w:r>
              <w:t>(20%)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2/22</w:t>
            </w:r>
          </w:p>
          <w:p w:rsidR="00A25C46" w:rsidRDefault="00A25C46" w:rsidP="00CF5547">
            <w:pPr>
              <w:jc w:val="center"/>
            </w:pPr>
            <w:r>
              <w:t>(9%)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3/18</w:t>
            </w:r>
          </w:p>
          <w:p w:rsidR="00A25C46" w:rsidRDefault="00A25C46" w:rsidP="00CF5547">
            <w:pPr>
              <w:jc w:val="center"/>
            </w:pPr>
            <w:r>
              <w:t>(17%)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11/69</w:t>
            </w:r>
          </w:p>
          <w:p w:rsidR="00A25C46" w:rsidRDefault="00A25C46" w:rsidP="00CF5547">
            <w:pPr>
              <w:jc w:val="center"/>
            </w:pPr>
            <w:r>
              <w:t>(16%)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17/63</w:t>
            </w:r>
          </w:p>
          <w:p w:rsidR="00A25C46" w:rsidRDefault="00A25C46" w:rsidP="00CF5547">
            <w:pPr>
              <w:jc w:val="center"/>
            </w:pPr>
            <w:r>
              <w:t>(27%)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11/102</w:t>
            </w:r>
          </w:p>
          <w:p w:rsidR="00A25C46" w:rsidRDefault="00A25C46" w:rsidP="00CF5547">
            <w:pPr>
              <w:jc w:val="center"/>
            </w:pPr>
            <w:r>
              <w:t>(11%)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16/103</w:t>
            </w:r>
          </w:p>
          <w:p w:rsidR="00A25C46" w:rsidRDefault="00A25C46" w:rsidP="00CF5547">
            <w:pPr>
              <w:jc w:val="center"/>
            </w:pPr>
            <w:r>
              <w:t>(16%)</w:t>
            </w:r>
          </w:p>
        </w:tc>
      </w:tr>
      <w:tr w:rsidR="00A25C46" w:rsidTr="0079103D">
        <w:trPr>
          <w:trHeight w:val="800"/>
        </w:trPr>
        <w:tc>
          <w:tcPr>
            <w:tcW w:w="4633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lastRenderedPageBreak/>
              <w:t>Number of susceptible members in compounds of index case-patients with PCR-confirmed influenza</w:t>
            </w:r>
          </w:p>
        </w:tc>
        <w:tc>
          <w:tcPr>
            <w:tcW w:w="1328" w:type="dxa"/>
          </w:tcPr>
          <w:p w:rsidR="00A25C46" w:rsidRDefault="00A25C46" w:rsidP="00CF5547">
            <w:pPr>
              <w:jc w:val="center"/>
            </w:pPr>
            <w:r>
              <w:t>177/1661</w:t>
            </w:r>
          </w:p>
          <w:p w:rsidR="00A25C46" w:rsidRDefault="00A25C46" w:rsidP="00CF5547">
            <w:pPr>
              <w:jc w:val="center"/>
            </w:pPr>
            <w:r>
              <w:t>(11%)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250/1498</w:t>
            </w:r>
          </w:p>
          <w:p w:rsidR="00A25C46" w:rsidRDefault="00A25C46" w:rsidP="00CF5547">
            <w:pPr>
              <w:jc w:val="center"/>
            </w:pPr>
            <w:r>
              <w:t>(17%)</w:t>
            </w:r>
          </w:p>
        </w:tc>
        <w:tc>
          <w:tcPr>
            <w:tcW w:w="1527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15/179</w:t>
            </w:r>
          </w:p>
          <w:p w:rsidR="00A25C46" w:rsidRDefault="00A25C46" w:rsidP="00CF5547">
            <w:pPr>
              <w:jc w:val="center"/>
            </w:pPr>
            <w:r>
              <w:t>(8%)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39/176</w:t>
            </w:r>
          </w:p>
          <w:p w:rsidR="00A25C46" w:rsidRDefault="00A25C46" w:rsidP="00CF5547">
            <w:pPr>
              <w:jc w:val="center"/>
            </w:pPr>
            <w:r>
              <w:t>(22%)</w:t>
            </w: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77/548</w:t>
            </w:r>
          </w:p>
          <w:p w:rsidR="00A25C46" w:rsidRDefault="00A25C46" w:rsidP="00CF5547">
            <w:pPr>
              <w:jc w:val="center"/>
            </w:pPr>
            <w:r>
              <w:t>(14%)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105/432</w:t>
            </w:r>
          </w:p>
          <w:p w:rsidR="00A25C46" w:rsidRDefault="00A25C46" w:rsidP="00CF5547">
            <w:pPr>
              <w:jc w:val="center"/>
            </w:pPr>
            <w:r>
              <w:t>(24%)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A25C46" w:rsidRDefault="00A25C46" w:rsidP="00CF5547">
            <w:pPr>
              <w:jc w:val="center"/>
            </w:pPr>
            <w:r>
              <w:t>85/934</w:t>
            </w:r>
          </w:p>
          <w:p w:rsidR="00A25C46" w:rsidRDefault="00A25C46" w:rsidP="00CF5547">
            <w:pPr>
              <w:jc w:val="center"/>
            </w:pPr>
            <w:r>
              <w:t>(9%)</w:t>
            </w:r>
          </w:p>
        </w:tc>
        <w:tc>
          <w:tcPr>
            <w:tcW w:w="1129" w:type="dxa"/>
          </w:tcPr>
          <w:p w:rsidR="00A25C46" w:rsidRDefault="00A25C46" w:rsidP="00CF5547">
            <w:pPr>
              <w:jc w:val="center"/>
            </w:pPr>
            <w:r>
              <w:t>106/890</w:t>
            </w:r>
          </w:p>
          <w:p w:rsidR="00A25C46" w:rsidRDefault="00A25C46" w:rsidP="00CF5547">
            <w:pPr>
              <w:jc w:val="center"/>
            </w:pPr>
            <w:r>
              <w:t>(12%)</w:t>
            </w:r>
          </w:p>
        </w:tc>
      </w:tr>
    </w:tbl>
    <w:p w:rsidR="00A25C46" w:rsidRPr="008F5502" w:rsidRDefault="00A25C46" w:rsidP="00A25C46">
      <w:pPr>
        <w:sectPr w:rsidR="00A25C46" w:rsidRPr="008F5502" w:rsidSect="002A2654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*excluded compounds that had travel time &gt; 2 hours (# 1009), the compound withdrew from the study (# 3119), index case-patient was not present for </w:t>
      </w:r>
      <w:r>
        <w:rPr>
          <w:u w:val="single"/>
        </w:rPr>
        <w:t>&gt;</w:t>
      </w:r>
      <w:r>
        <w:t xml:space="preserve"> 3 days (# 2124 – removed because </w:t>
      </w:r>
      <w:proofErr w:type="spellStart"/>
      <w:r>
        <w:t>hh</w:t>
      </w:r>
      <w:proofErr w:type="spellEnd"/>
      <w:r>
        <w:t xml:space="preserve"> members not susceptible if index case-patient not present), and one compound was found to have fever among a member of the index case-patient household (4020 - intervention)</w:t>
      </w:r>
    </w:p>
    <w:p w:rsidR="0054003F" w:rsidRDefault="0054003F" w:rsidP="0079103D">
      <w:pPr>
        <w:pStyle w:val="Heading1"/>
      </w:pPr>
    </w:p>
    <w:sectPr w:rsidR="0054003F" w:rsidSect="006907C6">
      <w:pgSz w:w="15840" w:h="12240" w:orient="landscape"/>
      <w:pgMar w:top="-25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E8" w:rsidRDefault="00A22AE8" w:rsidP="00B013F7">
      <w:pPr>
        <w:spacing w:after="0" w:line="240" w:lineRule="auto"/>
      </w:pPr>
      <w:r>
        <w:separator/>
      </w:r>
    </w:p>
  </w:endnote>
  <w:endnote w:type="continuationSeparator" w:id="0">
    <w:p w:rsidR="00A22AE8" w:rsidRDefault="00A22AE8" w:rsidP="00B013F7">
      <w:pPr>
        <w:spacing w:after="0" w:line="240" w:lineRule="auto"/>
      </w:pPr>
      <w:r>
        <w:continuationSeparator/>
      </w:r>
    </w:p>
  </w:endnote>
  <w:endnote w:type="continuationNotice" w:id="1">
    <w:p w:rsidR="00A22AE8" w:rsidRDefault="00A22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00E" w:rsidRDefault="00DE2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00E" w:rsidRDefault="00DE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E8" w:rsidRDefault="00A22AE8" w:rsidP="00B013F7">
      <w:pPr>
        <w:spacing w:after="0" w:line="240" w:lineRule="auto"/>
      </w:pPr>
      <w:r>
        <w:separator/>
      </w:r>
    </w:p>
  </w:footnote>
  <w:footnote w:type="continuationSeparator" w:id="0">
    <w:p w:rsidR="00A22AE8" w:rsidRDefault="00A22AE8" w:rsidP="00B013F7">
      <w:pPr>
        <w:spacing w:after="0" w:line="240" w:lineRule="auto"/>
      </w:pPr>
      <w:r>
        <w:continuationSeparator/>
      </w:r>
    </w:p>
  </w:footnote>
  <w:footnote w:type="continuationNotice" w:id="1">
    <w:p w:rsidR="00A22AE8" w:rsidRDefault="00A22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0E" w:rsidRDefault="00DE200E" w:rsidP="00D84F43">
    <w:pPr>
      <w:pStyle w:val="Header"/>
    </w:pPr>
  </w:p>
  <w:p w:rsidR="00DE200E" w:rsidRDefault="00DE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D06"/>
    <w:multiLevelType w:val="hybridMultilevel"/>
    <w:tmpl w:val="7728DB4C"/>
    <w:lvl w:ilvl="0" w:tplc="0930F6F4">
      <w:start w:val="4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6E1D"/>
    <w:multiLevelType w:val="hybridMultilevel"/>
    <w:tmpl w:val="3500B7F2"/>
    <w:lvl w:ilvl="0" w:tplc="6A944E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9A5411-9330-4AA5-9504-69B9987E88C7}"/>
    <w:docVar w:name="dgnword-eventsink" w:val="181572064"/>
  </w:docVars>
  <w:rsids>
    <w:rsidRoot w:val="00574E4A"/>
    <w:rsid w:val="00000976"/>
    <w:rsid w:val="00000F29"/>
    <w:rsid w:val="00005C08"/>
    <w:rsid w:val="0001606B"/>
    <w:rsid w:val="00016E7C"/>
    <w:rsid w:val="000176D9"/>
    <w:rsid w:val="000203B6"/>
    <w:rsid w:val="000312A7"/>
    <w:rsid w:val="000337AA"/>
    <w:rsid w:val="000359FC"/>
    <w:rsid w:val="000400A2"/>
    <w:rsid w:val="00047073"/>
    <w:rsid w:val="00047D45"/>
    <w:rsid w:val="000649C4"/>
    <w:rsid w:val="00065E84"/>
    <w:rsid w:val="00066F76"/>
    <w:rsid w:val="00070608"/>
    <w:rsid w:val="000708A8"/>
    <w:rsid w:val="0007555F"/>
    <w:rsid w:val="00075988"/>
    <w:rsid w:val="0007663A"/>
    <w:rsid w:val="000925D7"/>
    <w:rsid w:val="000C3359"/>
    <w:rsid w:val="000C4838"/>
    <w:rsid w:val="000E6DAE"/>
    <w:rsid w:val="000E7C45"/>
    <w:rsid w:val="000F0D09"/>
    <w:rsid w:val="000F1DF5"/>
    <w:rsid w:val="000F2336"/>
    <w:rsid w:val="000F4B11"/>
    <w:rsid w:val="000F6C5B"/>
    <w:rsid w:val="000F7A44"/>
    <w:rsid w:val="00106F0A"/>
    <w:rsid w:val="00113BC7"/>
    <w:rsid w:val="00114550"/>
    <w:rsid w:val="0012153A"/>
    <w:rsid w:val="00122125"/>
    <w:rsid w:val="00126CE8"/>
    <w:rsid w:val="00131BA0"/>
    <w:rsid w:val="001424E1"/>
    <w:rsid w:val="00143625"/>
    <w:rsid w:val="001472C2"/>
    <w:rsid w:val="00154DD5"/>
    <w:rsid w:val="0015690C"/>
    <w:rsid w:val="00165D6F"/>
    <w:rsid w:val="00172C77"/>
    <w:rsid w:val="0018251A"/>
    <w:rsid w:val="00187C6F"/>
    <w:rsid w:val="00193865"/>
    <w:rsid w:val="001940D7"/>
    <w:rsid w:val="001A3F84"/>
    <w:rsid w:val="001C36B3"/>
    <w:rsid w:val="001C389D"/>
    <w:rsid w:val="001C4F90"/>
    <w:rsid w:val="001E1A82"/>
    <w:rsid w:val="001E402A"/>
    <w:rsid w:val="001E6A56"/>
    <w:rsid w:val="001F2ACB"/>
    <w:rsid w:val="001F3B68"/>
    <w:rsid w:val="001F7778"/>
    <w:rsid w:val="0020324D"/>
    <w:rsid w:val="002162E1"/>
    <w:rsid w:val="00221187"/>
    <w:rsid w:val="002240CE"/>
    <w:rsid w:val="00225DDA"/>
    <w:rsid w:val="0023282C"/>
    <w:rsid w:val="00246183"/>
    <w:rsid w:val="00250C9E"/>
    <w:rsid w:val="00274E45"/>
    <w:rsid w:val="00276196"/>
    <w:rsid w:val="00280064"/>
    <w:rsid w:val="00294821"/>
    <w:rsid w:val="002A0608"/>
    <w:rsid w:val="002A2654"/>
    <w:rsid w:val="002A5FF1"/>
    <w:rsid w:val="002A7BC7"/>
    <w:rsid w:val="002B62CD"/>
    <w:rsid w:val="002C152D"/>
    <w:rsid w:val="002C2C36"/>
    <w:rsid w:val="002C3492"/>
    <w:rsid w:val="002D0A68"/>
    <w:rsid w:val="002E3381"/>
    <w:rsid w:val="002E4E22"/>
    <w:rsid w:val="002F1D70"/>
    <w:rsid w:val="003050ED"/>
    <w:rsid w:val="00312E18"/>
    <w:rsid w:val="00322F62"/>
    <w:rsid w:val="0032705B"/>
    <w:rsid w:val="00353E27"/>
    <w:rsid w:val="00357C93"/>
    <w:rsid w:val="003607F1"/>
    <w:rsid w:val="00366486"/>
    <w:rsid w:val="00376F14"/>
    <w:rsid w:val="00384F6F"/>
    <w:rsid w:val="003907A8"/>
    <w:rsid w:val="003A58E1"/>
    <w:rsid w:val="003B2278"/>
    <w:rsid w:val="003B49E4"/>
    <w:rsid w:val="003C1681"/>
    <w:rsid w:val="003C7227"/>
    <w:rsid w:val="003D42CC"/>
    <w:rsid w:val="003F2D07"/>
    <w:rsid w:val="00401970"/>
    <w:rsid w:val="00401D95"/>
    <w:rsid w:val="00411EE9"/>
    <w:rsid w:val="004124CC"/>
    <w:rsid w:val="00412A66"/>
    <w:rsid w:val="00413D19"/>
    <w:rsid w:val="00420FA4"/>
    <w:rsid w:val="00423577"/>
    <w:rsid w:val="00430EEC"/>
    <w:rsid w:val="00435F62"/>
    <w:rsid w:val="004365E0"/>
    <w:rsid w:val="00442331"/>
    <w:rsid w:val="00456DE0"/>
    <w:rsid w:val="0047372B"/>
    <w:rsid w:val="00477C09"/>
    <w:rsid w:val="0048151A"/>
    <w:rsid w:val="00482E20"/>
    <w:rsid w:val="00490D50"/>
    <w:rsid w:val="00495B96"/>
    <w:rsid w:val="004A2D9C"/>
    <w:rsid w:val="004A3390"/>
    <w:rsid w:val="004A5476"/>
    <w:rsid w:val="004A6F2F"/>
    <w:rsid w:val="004B713B"/>
    <w:rsid w:val="004C5A73"/>
    <w:rsid w:val="004D1743"/>
    <w:rsid w:val="004D2850"/>
    <w:rsid w:val="004D2E6D"/>
    <w:rsid w:val="004D3C14"/>
    <w:rsid w:val="004D40CA"/>
    <w:rsid w:val="004E1B46"/>
    <w:rsid w:val="004E7637"/>
    <w:rsid w:val="004F7433"/>
    <w:rsid w:val="00500755"/>
    <w:rsid w:val="00502BF7"/>
    <w:rsid w:val="005041A1"/>
    <w:rsid w:val="00506337"/>
    <w:rsid w:val="005154FA"/>
    <w:rsid w:val="005158E9"/>
    <w:rsid w:val="005205EE"/>
    <w:rsid w:val="005219C3"/>
    <w:rsid w:val="00522128"/>
    <w:rsid w:val="00530071"/>
    <w:rsid w:val="00537421"/>
    <w:rsid w:val="0054003F"/>
    <w:rsid w:val="005472AA"/>
    <w:rsid w:val="005537E1"/>
    <w:rsid w:val="00553A04"/>
    <w:rsid w:val="0055474A"/>
    <w:rsid w:val="0055557A"/>
    <w:rsid w:val="00557441"/>
    <w:rsid w:val="005577AD"/>
    <w:rsid w:val="005738FC"/>
    <w:rsid w:val="005741EA"/>
    <w:rsid w:val="00574E4A"/>
    <w:rsid w:val="00577941"/>
    <w:rsid w:val="00583663"/>
    <w:rsid w:val="00583EE5"/>
    <w:rsid w:val="005906F7"/>
    <w:rsid w:val="00595878"/>
    <w:rsid w:val="005A242C"/>
    <w:rsid w:val="005A5B0A"/>
    <w:rsid w:val="005A6AC7"/>
    <w:rsid w:val="005B354F"/>
    <w:rsid w:val="005B54BB"/>
    <w:rsid w:val="005B7750"/>
    <w:rsid w:val="005C015B"/>
    <w:rsid w:val="005C1848"/>
    <w:rsid w:val="005C4FCB"/>
    <w:rsid w:val="005D00F8"/>
    <w:rsid w:val="005E08F1"/>
    <w:rsid w:val="005E2BAF"/>
    <w:rsid w:val="005F6E83"/>
    <w:rsid w:val="006032BC"/>
    <w:rsid w:val="00611E0F"/>
    <w:rsid w:val="00611F99"/>
    <w:rsid w:val="00620531"/>
    <w:rsid w:val="006205AC"/>
    <w:rsid w:val="00620FE1"/>
    <w:rsid w:val="0062222D"/>
    <w:rsid w:val="00631D19"/>
    <w:rsid w:val="006321CB"/>
    <w:rsid w:val="00637573"/>
    <w:rsid w:val="00645923"/>
    <w:rsid w:val="00647577"/>
    <w:rsid w:val="0065513B"/>
    <w:rsid w:val="00657FF1"/>
    <w:rsid w:val="00663BAA"/>
    <w:rsid w:val="006651C7"/>
    <w:rsid w:val="00666199"/>
    <w:rsid w:val="0066723E"/>
    <w:rsid w:val="00673C3B"/>
    <w:rsid w:val="00674468"/>
    <w:rsid w:val="006748E2"/>
    <w:rsid w:val="00675004"/>
    <w:rsid w:val="00683A0E"/>
    <w:rsid w:val="006907C6"/>
    <w:rsid w:val="00693B24"/>
    <w:rsid w:val="006A62B8"/>
    <w:rsid w:val="006A7288"/>
    <w:rsid w:val="006A7F8B"/>
    <w:rsid w:val="006B0694"/>
    <w:rsid w:val="006B39DE"/>
    <w:rsid w:val="006B6A72"/>
    <w:rsid w:val="006C165E"/>
    <w:rsid w:val="006C5E13"/>
    <w:rsid w:val="006C614D"/>
    <w:rsid w:val="006F7763"/>
    <w:rsid w:val="0071024C"/>
    <w:rsid w:val="00710C91"/>
    <w:rsid w:val="00710D55"/>
    <w:rsid w:val="00712C67"/>
    <w:rsid w:val="00713951"/>
    <w:rsid w:val="0072029C"/>
    <w:rsid w:val="00721501"/>
    <w:rsid w:val="007220DF"/>
    <w:rsid w:val="00722E09"/>
    <w:rsid w:val="00727E45"/>
    <w:rsid w:val="00732FF8"/>
    <w:rsid w:val="007346D4"/>
    <w:rsid w:val="00743F52"/>
    <w:rsid w:val="007547F3"/>
    <w:rsid w:val="007561A1"/>
    <w:rsid w:val="00781E22"/>
    <w:rsid w:val="00784CF5"/>
    <w:rsid w:val="0079103D"/>
    <w:rsid w:val="007944F1"/>
    <w:rsid w:val="007B3C82"/>
    <w:rsid w:val="007C47FB"/>
    <w:rsid w:val="007D0F62"/>
    <w:rsid w:val="007E2D82"/>
    <w:rsid w:val="007E2F05"/>
    <w:rsid w:val="007E405A"/>
    <w:rsid w:val="007F1CE6"/>
    <w:rsid w:val="008005CB"/>
    <w:rsid w:val="00806D9D"/>
    <w:rsid w:val="008204C3"/>
    <w:rsid w:val="00821956"/>
    <w:rsid w:val="0082246D"/>
    <w:rsid w:val="00823064"/>
    <w:rsid w:val="00836786"/>
    <w:rsid w:val="00837851"/>
    <w:rsid w:val="0084054F"/>
    <w:rsid w:val="00847A41"/>
    <w:rsid w:val="00862A3D"/>
    <w:rsid w:val="00873323"/>
    <w:rsid w:val="00873AEA"/>
    <w:rsid w:val="008767D5"/>
    <w:rsid w:val="00876F07"/>
    <w:rsid w:val="0088678B"/>
    <w:rsid w:val="008924E0"/>
    <w:rsid w:val="008949D4"/>
    <w:rsid w:val="00894D8D"/>
    <w:rsid w:val="00896EC9"/>
    <w:rsid w:val="00897D66"/>
    <w:rsid w:val="008B0544"/>
    <w:rsid w:val="008B1738"/>
    <w:rsid w:val="008B71CD"/>
    <w:rsid w:val="008B75F4"/>
    <w:rsid w:val="008B7BAD"/>
    <w:rsid w:val="008C4425"/>
    <w:rsid w:val="008C50BD"/>
    <w:rsid w:val="008D7229"/>
    <w:rsid w:val="008E39DD"/>
    <w:rsid w:val="008F41C7"/>
    <w:rsid w:val="008F493D"/>
    <w:rsid w:val="008F5502"/>
    <w:rsid w:val="008F5857"/>
    <w:rsid w:val="00901C9A"/>
    <w:rsid w:val="009045AE"/>
    <w:rsid w:val="00904F3B"/>
    <w:rsid w:val="00917361"/>
    <w:rsid w:val="00921586"/>
    <w:rsid w:val="00923890"/>
    <w:rsid w:val="009260F9"/>
    <w:rsid w:val="0093443D"/>
    <w:rsid w:val="00937DE6"/>
    <w:rsid w:val="00943399"/>
    <w:rsid w:val="009539B0"/>
    <w:rsid w:val="00954FA1"/>
    <w:rsid w:val="009574E0"/>
    <w:rsid w:val="00960135"/>
    <w:rsid w:val="00960476"/>
    <w:rsid w:val="0096074E"/>
    <w:rsid w:val="00961902"/>
    <w:rsid w:val="00972641"/>
    <w:rsid w:val="00982015"/>
    <w:rsid w:val="00995F03"/>
    <w:rsid w:val="009B2779"/>
    <w:rsid w:val="009B3051"/>
    <w:rsid w:val="009B5031"/>
    <w:rsid w:val="009B55EF"/>
    <w:rsid w:val="009C2C87"/>
    <w:rsid w:val="009C7150"/>
    <w:rsid w:val="009D7183"/>
    <w:rsid w:val="009E3C8C"/>
    <w:rsid w:val="009F1BE8"/>
    <w:rsid w:val="009F62D9"/>
    <w:rsid w:val="00A14DCA"/>
    <w:rsid w:val="00A219D3"/>
    <w:rsid w:val="00A229C5"/>
    <w:rsid w:val="00A22AE8"/>
    <w:rsid w:val="00A2399F"/>
    <w:rsid w:val="00A23D47"/>
    <w:rsid w:val="00A25C46"/>
    <w:rsid w:val="00A26852"/>
    <w:rsid w:val="00A329BB"/>
    <w:rsid w:val="00A36966"/>
    <w:rsid w:val="00A4009F"/>
    <w:rsid w:val="00A465EE"/>
    <w:rsid w:val="00A50156"/>
    <w:rsid w:val="00A50B7C"/>
    <w:rsid w:val="00A532F3"/>
    <w:rsid w:val="00A73E77"/>
    <w:rsid w:val="00A80AB4"/>
    <w:rsid w:val="00A84892"/>
    <w:rsid w:val="00A90978"/>
    <w:rsid w:val="00A90AA4"/>
    <w:rsid w:val="00A92E28"/>
    <w:rsid w:val="00A936D0"/>
    <w:rsid w:val="00A93DED"/>
    <w:rsid w:val="00AA0DCC"/>
    <w:rsid w:val="00AA4777"/>
    <w:rsid w:val="00AC068F"/>
    <w:rsid w:val="00AC115B"/>
    <w:rsid w:val="00AC75F6"/>
    <w:rsid w:val="00AD04AC"/>
    <w:rsid w:val="00AD1982"/>
    <w:rsid w:val="00AE131A"/>
    <w:rsid w:val="00AE13B6"/>
    <w:rsid w:val="00AE154C"/>
    <w:rsid w:val="00AE1F8A"/>
    <w:rsid w:val="00AE2931"/>
    <w:rsid w:val="00AE54AE"/>
    <w:rsid w:val="00AF5381"/>
    <w:rsid w:val="00B013F7"/>
    <w:rsid w:val="00B0602F"/>
    <w:rsid w:val="00B14C71"/>
    <w:rsid w:val="00B14E0B"/>
    <w:rsid w:val="00B179E9"/>
    <w:rsid w:val="00B21B63"/>
    <w:rsid w:val="00B22F8B"/>
    <w:rsid w:val="00B22F91"/>
    <w:rsid w:val="00B23442"/>
    <w:rsid w:val="00B33985"/>
    <w:rsid w:val="00B40EB2"/>
    <w:rsid w:val="00B46C22"/>
    <w:rsid w:val="00B479F6"/>
    <w:rsid w:val="00B622A2"/>
    <w:rsid w:val="00B63C80"/>
    <w:rsid w:val="00B66391"/>
    <w:rsid w:val="00B805A4"/>
    <w:rsid w:val="00B813E4"/>
    <w:rsid w:val="00B872FB"/>
    <w:rsid w:val="00B9020C"/>
    <w:rsid w:val="00BA338B"/>
    <w:rsid w:val="00BA3EA3"/>
    <w:rsid w:val="00BA75E0"/>
    <w:rsid w:val="00BB20E5"/>
    <w:rsid w:val="00BB314F"/>
    <w:rsid w:val="00BB6F76"/>
    <w:rsid w:val="00BC0D69"/>
    <w:rsid w:val="00BD32E1"/>
    <w:rsid w:val="00BD6891"/>
    <w:rsid w:val="00BE386A"/>
    <w:rsid w:val="00C020AD"/>
    <w:rsid w:val="00C03ACB"/>
    <w:rsid w:val="00C055F7"/>
    <w:rsid w:val="00C05CAF"/>
    <w:rsid w:val="00C05D46"/>
    <w:rsid w:val="00C27E79"/>
    <w:rsid w:val="00C31F37"/>
    <w:rsid w:val="00C3780B"/>
    <w:rsid w:val="00C47B67"/>
    <w:rsid w:val="00C55841"/>
    <w:rsid w:val="00C66C5E"/>
    <w:rsid w:val="00C759BD"/>
    <w:rsid w:val="00C80F81"/>
    <w:rsid w:val="00C84FCA"/>
    <w:rsid w:val="00C86A33"/>
    <w:rsid w:val="00C87E19"/>
    <w:rsid w:val="00C959DB"/>
    <w:rsid w:val="00CA4033"/>
    <w:rsid w:val="00CB2D14"/>
    <w:rsid w:val="00CB55CF"/>
    <w:rsid w:val="00CB62FB"/>
    <w:rsid w:val="00CB72D5"/>
    <w:rsid w:val="00CB78E4"/>
    <w:rsid w:val="00CB7F6D"/>
    <w:rsid w:val="00CC2BB9"/>
    <w:rsid w:val="00CC5215"/>
    <w:rsid w:val="00CC5E8E"/>
    <w:rsid w:val="00CD0175"/>
    <w:rsid w:val="00CD3C0D"/>
    <w:rsid w:val="00CE17DB"/>
    <w:rsid w:val="00CE6460"/>
    <w:rsid w:val="00CE78AE"/>
    <w:rsid w:val="00CF5547"/>
    <w:rsid w:val="00CF6784"/>
    <w:rsid w:val="00CF6CAD"/>
    <w:rsid w:val="00D01C69"/>
    <w:rsid w:val="00D05FB8"/>
    <w:rsid w:val="00D0639C"/>
    <w:rsid w:val="00D12CB7"/>
    <w:rsid w:val="00D165ED"/>
    <w:rsid w:val="00D20601"/>
    <w:rsid w:val="00D2256F"/>
    <w:rsid w:val="00D25E06"/>
    <w:rsid w:val="00D27AA7"/>
    <w:rsid w:val="00D303CE"/>
    <w:rsid w:val="00D350C1"/>
    <w:rsid w:val="00D43B2F"/>
    <w:rsid w:val="00D55A79"/>
    <w:rsid w:val="00D60FCA"/>
    <w:rsid w:val="00D65DFC"/>
    <w:rsid w:val="00D75112"/>
    <w:rsid w:val="00D77F03"/>
    <w:rsid w:val="00D84F43"/>
    <w:rsid w:val="00D92AEA"/>
    <w:rsid w:val="00D96720"/>
    <w:rsid w:val="00DA140A"/>
    <w:rsid w:val="00DB48F3"/>
    <w:rsid w:val="00DB5177"/>
    <w:rsid w:val="00DB523B"/>
    <w:rsid w:val="00DB6D65"/>
    <w:rsid w:val="00DC0295"/>
    <w:rsid w:val="00DC1A6B"/>
    <w:rsid w:val="00DD1CE7"/>
    <w:rsid w:val="00DE200E"/>
    <w:rsid w:val="00DF0C89"/>
    <w:rsid w:val="00E11C28"/>
    <w:rsid w:val="00E22BE0"/>
    <w:rsid w:val="00E26F60"/>
    <w:rsid w:val="00E330B9"/>
    <w:rsid w:val="00E363F8"/>
    <w:rsid w:val="00E50B3C"/>
    <w:rsid w:val="00E54585"/>
    <w:rsid w:val="00E619CE"/>
    <w:rsid w:val="00E70B26"/>
    <w:rsid w:val="00E747D4"/>
    <w:rsid w:val="00E8275A"/>
    <w:rsid w:val="00EA075D"/>
    <w:rsid w:val="00EC37A9"/>
    <w:rsid w:val="00EC4D30"/>
    <w:rsid w:val="00EC6F7C"/>
    <w:rsid w:val="00ED5E2B"/>
    <w:rsid w:val="00EF01F2"/>
    <w:rsid w:val="00EF6549"/>
    <w:rsid w:val="00F01B68"/>
    <w:rsid w:val="00F01FEA"/>
    <w:rsid w:val="00F03426"/>
    <w:rsid w:val="00F037DC"/>
    <w:rsid w:val="00F05055"/>
    <w:rsid w:val="00F14D7E"/>
    <w:rsid w:val="00F21ADB"/>
    <w:rsid w:val="00F23BF9"/>
    <w:rsid w:val="00F243C9"/>
    <w:rsid w:val="00F33CDA"/>
    <w:rsid w:val="00F3435D"/>
    <w:rsid w:val="00F4270A"/>
    <w:rsid w:val="00F43CED"/>
    <w:rsid w:val="00F456D3"/>
    <w:rsid w:val="00F4787D"/>
    <w:rsid w:val="00F500B4"/>
    <w:rsid w:val="00F51CFD"/>
    <w:rsid w:val="00F77E59"/>
    <w:rsid w:val="00F81AE1"/>
    <w:rsid w:val="00F83377"/>
    <w:rsid w:val="00F835A5"/>
    <w:rsid w:val="00F85D7E"/>
    <w:rsid w:val="00F94B68"/>
    <w:rsid w:val="00F9605A"/>
    <w:rsid w:val="00FA0C65"/>
    <w:rsid w:val="00FB53BB"/>
    <w:rsid w:val="00FC2278"/>
    <w:rsid w:val="00FE3FA4"/>
    <w:rsid w:val="00FE76FF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249E7-418B-4F99-9CD0-EEE9F20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E4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57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76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7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F7"/>
  </w:style>
  <w:style w:type="paragraph" w:styleId="Footer">
    <w:name w:val="footer"/>
    <w:basedOn w:val="Normal"/>
    <w:link w:val="FooterChar"/>
    <w:uiPriority w:val="99"/>
    <w:unhideWhenUsed/>
    <w:rsid w:val="00B0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F7"/>
  </w:style>
  <w:style w:type="character" w:styleId="CommentReference">
    <w:name w:val="annotation reference"/>
    <w:basedOn w:val="DefaultParagraphFont"/>
    <w:uiPriority w:val="99"/>
    <w:semiHidden/>
    <w:unhideWhenUsed/>
    <w:rsid w:val="00357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0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8F09-1F4D-47A5-89A7-665FE2FEC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ED523-B01A-41D7-9883-81555E3F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SPHHP IT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Pavani Ram</dc:creator>
  <cp:lastModifiedBy>Ram, Pavani</cp:lastModifiedBy>
  <cp:revision>3</cp:revision>
  <cp:lastPrinted>2012-11-09T19:43:00Z</cp:lastPrinted>
  <dcterms:created xsi:type="dcterms:W3CDTF">2015-02-03T13:37:00Z</dcterms:created>
  <dcterms:modified xsi:type="dcterms:W3CDTF">2015-02-03T13:54:00Z</dcterms:modified>
</cp:coreProperties>
</file>