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07" w:rsidRPr="00AE55EC" w:rsidRDefault="008C7707" w:rsidP="008C7707">
      <w:pPr>
        <w:widowControl w:val="0"/>
        <w:autoSpaceDE w:val="0"/>
        <w:autoSpaceDN w:val="0"/>
        <w:adjustRightInd w:val="0"/>
        <w:jc w:val="both"/>
        <w:rPr>
          <w:rFonts w:ascii="Times New Roman" w:hAnsi="Times New Roman"/>
          <w:b/>
        </w:rPr>
      </w:pPr>
      <w:r>
        <w:rPr>
          <w:rFonts w:ascii="Times New Roman" w:hAnsi="Times New Roman"/>
          <w:b/>
        </w:rPr>
        <w:t>S4 Table. Sub-Group Analyses of Voucher Program I</w:t>
      </w:r>
      <w:r w:rsidRPr="00AE55EC">
        <w:rPr>
          <w:rFonts w:ascii="Times New Roman" w:hAnsi="Times New Roman"/>
          <w:b/>
        </w:rPr>
        <w:t xml:space="preserve">mpact on </w:t>
      </w:r>
      <w:r>
        <w:rPr>
          <w:rFonts w:ascii="Times New Roman" w:hAnsi="Times New Roman"/>
          <w:b/>
        </w:rPr>
        <w:t>PNC P</w:t>
      </w:r>
      <w:r w:rsidRPr="00AE55EC">
        <w:rPr>
          <w:rFonts w:ascii="Times New Roman" w:hAnsi="Times New Roman"/>
          <w:b/>
        </w:rPr>
        <w:t xml:space="preserve">rocess </w:t>
      </w:r>
      <w:r>
        <w:rPr>
          <w:rFonts w:ascii="Times New Roman" w:hAnsi="Times New Roman"/>
          <w:b/>
        </w:rPr>
        <w:t>Domains</w:t>
      </w:r>
    </w:p>
    <w:tbl>
      <w:tblPr>
        <w:tblW w:w="13340" w:type="dxa"/>
        <w:tblInd w:w="93" w:type="dxa"/>
        <w:tblLayout w:type="fixed"/>
        <w:tblLook w:val="04A0" w:firstRow="1" w:lastRow="0" w:firstColumn="1" w:lastColumn="0" w:noHBand="0" w:noVBand="1"/>
      </w:tblPr>
      <w:tblGrid>
        <w:gridCol w:w="2656"/>
        <w:gridCol w:w="239"/>
        <w:gridCol w:w="1530"/>
        <w:gridCol w:w="180"/>
        <w:gridCol w:w="2610"/>
        <w:gridCol w:w="2340"/>
        <w:gridCol w:w="1710"/>
        <w:gridCol w:w="2075"/>
      </w:tblGrid>
      <w:tr w:rsidR="008C7707" w:rsidRPr="00AE55EC" w:rsidTr="00551DD6">
        <w:trPr>
          <w:trHeight w:val="240"/>
        </w:trPr>
        <w:tc>
          <w:tcPr>
            <w:tcW w:w="2656" w:type="dxa"/>
            <w:tcBorders>
              <w:top w:val="single" w:sz="8" w:space="0" w:color="auto"/>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684"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Phase I vs. Comparison Group</w:t>
            </w:r>
          </w:p>
        </w:tc>
      </w:tr>
      <w:tr w:rsidR="008C7707" w:rsidRPr="00AE55EC" w:rsidTr="00551DD6">
        <w:trPr>
          <w:trHeight w:val="124"/>
        </w:trPr>
        <w:tc>
          <w:tcPr>
            <w:tcW w:w="2656" w:type="dxa"/>
            <w:tcBorders>
              <w:top w:val="nil"/>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684" w:type="dxa"/>
            <w:gridSpan w:val="7"/>
            <w:vMerge/>
            <w:tcBorders>
              <w:top w:val="nil"/>
              <w:left w:val="nil"/>
              <w:bottom w:val="nil"/>
              <w:right w:val="single" w:sz="8" w:space="0" w:color="auto"/>
            </w:tcBorders>
            <w:vAlign w:val="center"/>
            <w:hideMark/>
          </w:tcPr>
          <w:p w:rsidR="008C7707" w:rsidRPr="00AE55EC" w:rsidRDefault="008C7707" w:rsidP="00551DD6">
            <w:pPr>
              <w:rPr>
                <w:rFonts w:ascii="Times New Roman" w:eastAsia="Times New Roman" w:hAnsi="Times New Roman"/>
                <w:b/>
                <w:bCs/>
                <w:color w:val="000000"/>
              </w:rPr>
            </w:pPr>
          </w:p>
        </w:tc>
      </w:tr>
      <w:tr w:rsidR="008C7707" w:rsidRPr="00AE55EC" w:rsidTr="00551DD6">
        <w:trPr>
          <w:trHeight w:val="216"/>
        </w:trPr>
        <w:tc>
          <w:tcPr>
            <w:tcW w:w="2656" w:type="dxa"/>
            <w:tcBorders>
              <w:top w:val="nil"/>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684" w:type="dxa"/>
            <w:gridSpan w:val="7"/>
            <w:tcBorders>
              <w:top w:val="nil"/>
              <w:left w:val="nil"/>
              <w:bottom w:val="single" w:sz="8" w:space="0" w:color="auto"/>
              <w:right w:val="single" w:sz="8" w:space="0" w:color="auto"/>
            </w:tcBorders>
            <w:shd w:val="clear" w:color="auto" w:fill="auto"/>
            <w:noWrap/>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Phase I * Post</w:t>
            </w:r>
          </w:p>
        </w:tc>
      </w:tr>
      <w:tr w:rsidR="008C7707" w:rsidRPr="00AE55EC" w:rsidTr="00551DD6">
        <w:trPr>
          <w:trHeight w:val="1240"/>
        </w:trPr>
        <w:tc>
          <w:tcPr>
            <w:tcW w:w="2656" w:type="dxa"/>
            <w:tcBorders>
              <w:top w:val="nil"/>
              <w:left w:val="single" w:sz="8" w:space="0" w:color="auto"/>
              <w:bottom w:val="single" w:sz="8" w:space="0" w:color="auto"/>
              <w:right w:val="nil"/>
            </w:tcBorders>
            <w:shd w:val="clear" w:color="000000" w:fill="FFFFFF"/>
            <w:vAlign w:val="bottom"/>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769" w:type="dxa"/>
            <w:gridSpan w:val="2"/>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All facilities</w:t>
            </w:r>
          </w:p>
        </w:tc>
        <w:tc>
          <w:tcPr>
            <w:tcW w:w="2790" w:type="dxa"/>
            <w:gridSpan w:val="2"/>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higher-level facilities (hospital, sub-district hospitals)</w:t>
            </w:r>
          </w:p>
        </w:tc>
        <w:tc>
          <w:tcPr>
            <w:tcW w:w="2340" w:type="dxa"/>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lower-level facilities (health centers, dispensaries, clinics and nursing homes)</w:t>
            </w:r>
          </w:p>
        </w:tc>
        <w:tc>
          <w:tcPr>
            <w:tcW w:w="1710" w:type="dxa"/>
            <w:tcBorders>
              <w:top w:val="nil"/>
              <w:left w:val="nil"/>
              <w:bottom w:val="single" w:sz="8" w:space="0" w:color="auto"/>
              <w:right w:val="nil"/>
            </w:tcBorders>
            <w:shd w:val="clear" w:color="000000" w:fill="FFFFFF"/>
            <w:noWrap/>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public facilities</w:t>
            </w:r>
          </w:p>
        </w:tc>
        <w:tc>
          <w:tcPr>
            <w:tcW w:w="2075" w:type="dxa"/>
            <w:tcBorders>
              <w:top w:val="nil"/>
              <w:left w:val="nil"/>
              <w:bottom w:val="single" w:sz="8" w:space="0" w:color="auto"/>
              <w:right w:val="single" w:sz="8" w:space="0" w:color="auto"/>
            </w:tcBorders>
            <w:shd w:val="clear" w:color="000000" w:fill="FFFFFF"/>
            <w:noWrap/>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private facilities</w:t>
            </w:r>
          </w:p>
        </w:tc>
      </w:tr>
      <w:tr w:rsidR="008C7707" w:rsidRPr="00AE55EC" w:rsidTr="00551DD6">
        <w:trPr>
          <w:trHeight w:val="240"/>
        </w:trPr>
        <w:tc>
          <w:tcPr>
            <w:tcW w:w="265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Overall maternal care score</w:t>
            </w:r>
          </w:p>
        </w:tc>
        <w:tc>
          <w:tcPr>
            <w:tcW w:w="176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1.86** (0.5)</w:t>
            </w:r>
          </w:p>
        </w:tc>
        <w:tc>
          <w:tcPr>
            <w:tcW w:w="2790"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1.8</w:t>
            </w:r>
            <w:r>
              <w:rPr>
                <w:rFonts w:ascii="Times New Roman" w:eastAsia="Times New Roman" w:hAnsi="Times New Roman"/>
                <w:color w:val="000000"/>
              </w:rPr>
              <w:t>2</w:t>
            </w:r>
            <w:r w:rsidRPr="00AE55EC">
              <w:rPr>
                <w:rFonts w:ascii="Times New Roman" w:eastAsia="Times New Roman" w:hAnsi="Times New Roman"/>
                <w:color w:val="000000"/>
              </w:rPr>
              <w:t xml:space="preserve"> (0.7)</w:t>
            </w:r>
          </w:p>
        </w:tc>
        <w:tc>
          <w:tcPr>
            <w:tcW w:w="23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2.01** (0.</w:t>
            </w:r>
            <w:r>
              <w:rPr>
                <w:rFonts w:ascii="Times New Roman" w:eastAsia="Times New Roman" w:hAnsi="Times New Roman"/>
                <w:color w:val="000000"/>
              </w:rPr>
              <w:t>7</w:t>
            </w:r>
            <w:r w:rsidRPr="00AE55EC">
              <w:rPr>
                <w:rFonts w:ascii="Times New Roman" w:eastAsia="Times New Roman" w:hAnsi="Times New Roman"/>
                <w:color w:val="000000"/>
              </w:rPr>
              <w:t>)</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1.68 (0.</w:t>
            </w:r>
            <w:r>
              <w:rPr>
                <w:rFonts w:ascii="Times New Roman" w:eastAsia="Times New Roman" w:hAnsi="Times New Roman"/>
                <w:color w:val="000000"/>
              </w:rPr>
              <w:t>6</w:t>
            </w:r>
            <w:r w:rsidRPr="00AE55EC">
              <w:rPr>
                <w:rFonts w:ascii="Times New Roman" w:eastAsia="Times New Roman" w:hAnsi="Times New Roman"/>
                <w:color w:val="000000"/>
              </w:rPr>
              <w:t>)</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2.20* (0.9)</w:t>
            </w:r>
          </w:p>
        </w:tc>
      </w:tr>
      <w:tr w:rsidR="008C7707" w:rsidRPr="00AE55EC" w:rsidTr="00551DD6">
        <w:trPr>
          <w:trHeight w:val="240"/>
        </w:trPr>
        <w:tc>
          <w:tcPr>
            <w:tcW w:w="265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xml:space="preserve">Overall </w:t>
            </w:r>
            <w:r>
              <w:rPr>
                <w:rFonts w:ascii="Times New Roman" w:eastAsia="Times New Roman" w:hAnsi="Times New Roman"/>
                <w:color w:val="000000"/>
              </w:rPr>
              <w:t>newborn</w:t>
            </w:r>
            <w:r w:rsidRPr="00AE55EC">
              <w:rPr>
                <w:rFonts w:ascii="Times New Roman" w:eastAsia="Times New Roman" w:hAnsi="Times New Roman"/>
                <w:color w:val="000000"/>
              </w:rPr>
              <w:t xml:space="preserve"> care score</w:t>
            </w:r>
          </w:p>
        </w:tc>
        <w:tc>
          <w:tcPr>
            <w:tcW w:w="176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1.24 (0.</w:t>
            </w:r>
            <w:r>
              <w:rPr>
                <w:rFonts w:ascii="Times New Roman" w:eastAsia="Times New Roman" w:hAnsi="Times New Roman"/>
                <w:b/>
                <w:bCs/>
                <w:color w:val="000000"/>
              </w:rPr>
              <w:t>2</w:t>
            </w:r>
            <w:r w:rsidRPr="00AE55EC">
              <w:rPr>
                <w:rFonts w:ascii="Times New Roman" w:eastAsia="Times New Roman" w:hAnsi="Times New Roman"/>
                <w:b/>
                <w:bCs/>
                <w:color w:val="000000"/>
              </w:rPr>
              <w:t>)</w:t>
            </w:r>
          </w:p>
        </w:tc>
        <w:tc>
          <w:tcPr>
            <w:tcW w:w="2790"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1.25 (0.2)</w:t>
            </w:r>
          </w:p>
        </w:tc>
        <w:tc>
          <w:tcPr>
            <w:tcW w:w="23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1.2</w:t>
            </w:r>
            <w:r>
              <w:rPr>
                <w:rFonts w:ascii="Times New Roman" w:eastAsia="Times New Roman" w:hAnsi="Times New Roman"/>
                <w:color w:val="000000"/>
              </w:rPr>
              <w:t>9</w:t>
            </w:r>
            <w:r w:rsidRPr="00AE55EC">
              <w:rPr>
                <w:rFonts w:ascii="Times New Roman" w:eastAsia="Times New Roman" w:hAnsi="Times New Roman"/>
                <w:color w:val="000000"/>
              </w:rPr>
              <w:t xml:space="preserve"> (0.3)</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1.32* (0.2)</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1.06 (0.</w:t>
            </w:r>
            <w:r>
              <w:rPr>
                <w:rFonts w:ascii="Times New Roman" w:eastAsia="Times New Roman" w:hAnsi="Times New Roman"/>
                <w:color w:val="000000"/>
              </w:rPr>
              <w:t>3</w:t>
            </w:r>
            <w:r w:rsidRPr="00AE55EC">
              <w:rPr>
                <w:rFonts w:ascii="Times New Roman" w:eastAsia="Times New Roman" w:hAnsi="Times New Roman"/>
                <w:color w:val="000000"/>
              </w:rPr>
              <w:t>)</w:t>
            </w:r>
          </w:p>
        </w:tc>
      </w:tr>
      <w:tr w:rsidR="008C7707" w:rsidRPr="00AE55EC" w:rsidTr="00551DD6">
        <w:trPr>
          <w:trHeight w:val="240"/>
        </w:trPr>
        <w:tc>
          <w:tcPr>
            <w:tcW w:w="265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Interpersonal care score</w:t>
            </w:r>
          </w:p>
        </w:tc>
        <w:tc>
          <w:tcPr>
            <w:tcW w:w="176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1.20** (0.1)</w:t>
            </w:r>
          </w:p>
        </w:tc>
        <w:tc>
          <w:tcPr>
            <w:tcW w:w="279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1.2</w:t>
            </w:r>
            <w:r>
              <w:rPr>
                <w:rFonts w:ascii="Times New Roman" w:eastAsia="Times New Roman" w:hAnsi="Times New Roman"/>
                <w:color w:val="000000"/>
              </w:rPr>
              <w:t>4</w:t>
            </w:r>
            <w:r w:rsidRPr="00AE55EC">
              <w:rPr>
                <w:rFonts w:ascii="Times New Roman" w:eastAsia="Times New Roman" w:hAnsi="Times New Roman"/>
                <w:color w:val="000000"/>
              </w:rPr>
              <w:t>* (0.1)</w:t>
            </w:r>
          </w:p>
        </w:tc>
        <w:tc>
          <w:tcPr>
            <w:tcW w:w="2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1.16 (0.</w:t>
            </w:r>
            <w:r>
              <w:rPr>
                <w:rFonts w:ascii="Times New Roman" w:eastAsia="Times New Roman" w:hAnsi="Times New Roman"/>
                <w:color w:val="000000"/>
              </w:rPr>
              <w:t>2</w:t>
            </w:r>
            <w:r w:rsidRPr="00AE55EC">
              <w:rPr>
                <w:rFonts w:ascii="Times New Roman" w:eastAsia="Times New Roman" w:hAnsi="Times New Roman"/>
                <w:color w:val="000000"/>
              </w:rPr>
              <w:t>)</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1.14 (0.1)</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1.29** (0.</w:t>
            </w:r>
            <w:r>
              <w:rPr>
                <w:rFonts w:ascii="Times New Roman" w:eastAsia="Times New Roman" w:hAnsi="Times New Roman"/>
                <w:color w:val="000000"/>
              </w:rPr>
              <w:t>1</w:t>
            </w:r>
            <w:r w:rsidRPr="00AE55EC">
              <w:rPr>
                <w:rFonts w:ascii="Times New Roman" w:eastAsia="Times New Roman" w:hAnsi="Times New Roman"/>
                <w:color w:val="000000"/>
              </w:rPr>
              <w:t>)</w:t>
            </w:r>
          </w:p>
        </w:tc>
      </w:tr>
      <w:tr w:rsidR="008C7707" w:rsidRPr="00AE55EC" w:rsidTr="00551DD6">
        <w:trPr>
          <w:trHeight w:val="260"/>
        </w:trPr>
        <w:tc>
          <w:tcPr>
            <w:tcW w:w="265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Overall process score</w:t>
            </w:r>
          </w:p>
        </w:tc>
        <w:tc>
          <w:tcPr>
            <w:tcW w:w="176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1.39** (0.2)</w:t>
            </w:r>
          </w:p>
        </w:tc>
        <w:tc>
          <w:tcPr>
            <w:tcW w:w="279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1.4</w:t>
            </w:r>
            <w:r>
              <w:rPr>
                <w:rFonts w:ascii="Times New Roman" w:eastAsia="Times New Roman" w:hAnsi="Times New Roman"/>
                <w:color w:val="000000"/>
              </w:rPr>
              <w:t>1</w:t>
            </w:r>
            <w:r w:rsidRPr="00AE55EC">
              <w:rPr>
                <w:rFonts w:ascii="Times New Roman" w:eastAsia="Times New Roman" w:hAnsi="Times New Roman"/>
                <w:color w:val="000000"/>
              </w:rPr>
              <w:t xml:space="preserve"> (0.3)</w:t>
            </w:r>
          </w:p>
        </w:tc>
        <w:tc>
          <w:tcPr>
            <w:tcW w:w="2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1.46 (0.3)</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1.3</w:t>
            </w:r>
            <w:r>
              <w:rPr>
                <w:rFonts w:ascii="Times New Roman" w:eastAsia="Times New Roman" w:hAnsi="Times New Roman"/>
                <w:color w:val="000000"/>
              </w:rPr>
              <w:t>8</w:t>
            </w:r>
            <w:r w:rsidRPr="00AE55EC">
              <w:rPr>
                <w:rFonts w:ascii="Times New Roman" w:eastAsia="Times New Roman" w:hAnsi="Times New Roman"/>
                <w:color w:val="000000"/>
              </w:rPr>
              <w:t>* (0.</w:t>
            </w:r>
            <w:r>
              <w:rPr>
                <w:rFonts w:ascii="Times New Roman" w:eastAsia="Times New Roman" w:hAnsi="Times New Roman"/>
                <w:color w:val="000000"/>
              </w:rPr>
              <w:t>3</w:t>
            </w:r>
            <w:r w:rsidRPr="00AE55EC">
              <w:rPr>
                <w:rFonts w:ascii="Times New Roman" w:eastAsia="Times New Roman" w:hAnsi="Times New Roman"/>
                <w:color w:val="000000"/>
              </w:rPr>
              <w:t>)</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1.38 (0.3)</w:t>
            </w:r>
          </w:p>
        </w:tc>
      </w:tr>
      <w:tr w:rsidR="008C7707" w:rsidRPr="00AE55EC" w:rsidTr="00551DD6">
        <w:trPr>
          <w:trHeight w:val="260"/>
        </w:trPr>
        <w:tc>
          <w:tcPr>
            <w:tcW w:w="2656" w:type="dxa"/>
            <w:tcBorders>
              <w:top w:val="single" w:sz="8" w:space="0" w:color="auto"/>
              <w:left w:val="single" w:sz="8" w:space="0" w:color="auto"/>
              <w:right w:val="nil"/>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w:t>
            </w:r>
          </w:p>
        </w:tc>
        <w:tc>
          <w:tcPr>
            <w:tcW w:w="1769" w:type="dxa"/>
            <w:gridSpan w:val="2"/>
            <w:tcBorders>
              <w:top w:val="single" w:sz="8" w:space="0" w:color="auto"/>
              <w:left w:val="nil"/>
              <w:right w:val="nil"/>
            </w:tcBorders>
            <w:shd w:val="clear" w:color="000000" w:fill="FFFFFF"/>
            <w:vAlign w:val="bottom"/>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2790" w:type="dxa"/>
            <w:gridSpan w:val="2"/>
            <w:tcBorders>
              <w:top w:val="single" w:sz="8" w:space="0" w:color="auto"/>
              <w:left w:val="nil"/>
              <w:right w:val="nil"/>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w:t>
            </w:r>
          </w:p>
        </w:tc>
        <w:tc>
          <w:tcPr>
            <w:tcW w:w="2340" w:type="dxa"/>
            <w:tcBorders>
              <w:top w:val="single" w:sz="8" w:space="0" w:color="auto"/>
              <w:left w:val="nil"/>
              <w:right w:val="nil"/>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w:t>
            </w:r>
          </w:p>
        </w:tc>
        <w:tc>
          <w:tcPr>
            <w:tcW w:w="1710" w:type="dxa"/>
            <w:tcBorders>
              <w:top w:val="single" w:sz="8" w:space="0" w:color="auto"/>
              <w:left w:val="nil"/>
              <w:right w:val="nil"/>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w:t>
            </w:r>
          </w:p>
        </w:tc>
        <w:tc>
          <w:tcPr>
            <w:tcW w:w="2075" w:type="dxa"/>
            <w:tcBorders>
              <w:top w:val="single" w:sz="8" w:space="0" w:color="auto"/>
              <w:left w:val="nil"/>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w:t>
            </w:r>
          </w:p>
        </w:tc>
      </w:tr>
      <w:tr w:rsidR="008C7707" w:rsidRPr="00AE55EC" w:rsidTr="00551DD6">
        <w:trPr>
          <w:trHeight w:val="240"/>
        </w:trPr>
        <w:tc>
          <w:tcPr>
            <w:tcW w:w="2895" w:type="dxa"/>
            <w:gridSpan w:val="2"/>
            <w:tcBorders>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445" w:type="dxa"/>
            <w:gridSpan w:val="6"/>
            <w:vMerge w:val="restart"/>
            <w:tcBorders>
              <w:left w:val="nil"/>
              <w:bottom w:val="single" w:sz="8" w:space="0" w:color="000000"/>
              <w:right w:val="single" w:sz="8" w:space="0" w:color="auto"/>
            </w:tcBorders>
            <w:shd w:val="clear" w:color="000000" w:fill="FFFFFF"/>
            <w:noWrap/>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Phase II vs. Comparison Group</w:t>
            </w:r>
          </w:p>
        </w:tc>
      </w:tr>
      <w:tr w:rsidR="008C7707" w:rsidRPr="00AE55EC" w:rsidTr="00551DD6">
        <w:trPr>
          <w:trHeight w:val="160"/>
        </w:trPr>
        <w:tc>
          <w:tcPr>
            <w:tcW w:w="2895" w:type="dxa"/>
            <w:gridSpan w:val="2"/>
            <w:tcBorders>
              <w:top w:val="nil"/>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445" w:type="dxa"/>
            <w:gridSpan w:val="6"/>
            <w:vMerge/>
            <w:tcBorders>
              <w:top w:val="nil"/>
              <w:left w:val="nil"/>
              <w:bottom w:val="nil"/>
              <w:right w:val="single" w:sz="8" w:space="0" w:color="auto"/>
            </w:tcBorders>
            <w:vAlign w:val="center"/>
            <w:hideMark/>
          </w:tcPr>
          <w:p w:rsidR="008C7707" w:rsidRPr="00AE55EC" w:rsidRDefault="008C7707" w:rsidP="00551DD6">
            <w:pPr>
              <w:rPr>
                <w:rFonts w:ascii="Times New Roman" w:eastAsia="Times New Roman" w:hAnsi="Times New Roman"/>
                <w:b/>
                <w:bCs/>
                <w:color w:val="000000"/>
              </w:rPr>
            </w:pPr>
          </w:p>
        </w:tc>
      </w:tr>
      <w:tr w:rsidR="008C7707" w:rsidRPr="00AE55EC" w:rsidTr="00551DD6">
        <w:trPr>
          <w:trHeight w:val="153"/>
        </w:trPr>
        <w:tc>
          <w:tcPr>
            <w:tcW w:w="2895" w:type="dxa"/>
            <w:gridSpan w:val="2"/>
            <w:tcBorders>
              <w:top w:val="nil"/>
              <w:left w:val="single" w:sz="8" w:space="0" w:color="auto"/>
              <w:bottom w:val="nil"/>
              <w:right w:val="nil"/>
            </w:tcBorders>
            <w:shd w:val="clear" w:color="000000" w:fill="FFFFFF"/>
            <w:vAlign w:val="center"/>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0445" w:type="dxa"/>
            <w:gridSpan w:val="6"/>
            <w:tcBorders>
              <w:top w:val="nil"/>
              <w:left w:val="nil"/>
              <w:bottom w:val="single" w:sz="8" w:space="0" w:color="auto"/>
              <w:right w:val="single" w:sz="8" w:space="0" w:color="auto"/>
            </w:tcBorders>
            <w:shd w:val="clear" w:color="auto" w:fill="auto"/>
            <w:noWrap/>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 xml:space="preserve">Phase II * Post </w:t>
            </w:r>
          </w:p>
        </w:tc>
      </w:tr>
      <w:tr w:rsidR="008C7707" w:rsidRPr="00AE55EC" w:rsidTr="00551DD6">
        <w:trPr>
          <w:trHeight w:val="740"/>
        </w:trPr>
        <w:tc>
          <w:tcPr>
            <w:tcW w:w="2895" w:type="dxa"/>
            <w:gridSpan w:val="2"/>
            <w:tcBorders>
              <w:top w:val="nil"/>
              <w:left w:val="single" w:sz="8" w:space="0" w:color="auto"/>
              <w:bottom w:val="single" w:sz="8" w:space="0" w:color="auto"/>
              <w:right w:val="nil"/>
            </w:tcBorders>
            <w:shd w:val="clear" w:color="000000" w:fill="FFFFFF"/>
            <w:vAlign w:val="bottom"/>
            <w:hideMark/>
          </w:tcPr>
          <w:p w:rsidR="008C7707" w:rsidRPr="00AE55EC" w:rsidRDefault="008C7707" w:rsidP="00551DD6">
            <w:pPr>
              <w:jc w:val="both"/>
              <w:rPr>
                <w:rFonts w:ascii="Times New Roman" w:eastAsia="Times New Roman" w:hAnsi="Times New Roman"/>
                <w:b/>
                <w:bCs/>
                <w:color w:val="000000"/>
              </w:rPr>
            </w:pPr>
            <w:r w:rsidRPr="00AE55EC">
              <w:rPr>
                <w:rFonts w:ascii="Times New Roman" w:eastAsia="Times New Roman" w:hAnsi="Times New Roman"/>
                <w:b/>
                <w:bCs/>
                <w:color w:val="000000"/>
              </w:rPr>
              <w:t> </w:t>
            </w:r>
          </w:p>
        </w:tc>
        <w:tc>
          <w:tcPr>
            <w:tcW w:w="1710" w:type="dxa"/>
            <w:gridSpan w:val="2"/>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b/>
                <w:bCs/>
                <w:color w:val="000000"/>
              </w:rPr>
            </w:pPr>
            <w:r w:rsidRPr="00AE55EC">
              <w:rPr>
                <w:rFonts w:ascii="Times New Roman" w:eastAsia="Times New Roman" w:hAnsi="Times New Roman"/>
                <w:b/>
                <w:bCs/>
                <w:color w:val="000000"/>
              </w:rPr>
              <w:t>All facilities</w:t>
            </w:r>
          </w:p>
        </w:tc>
        <w:tc>
          <w:tcPr>
            <w:tcW w:w="2610" w:type="dxa"/>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higher-level facilities (hospital, sub-district hospitals)</w:t>
            </w:r>
          </w:p>
        </w:tc>
        <w:tc>
          <w:tcPr>
            <w:tcW w:w="2340" w:type="dxa"/>
            <w:tcBorders>
              <w:top w:val="nil"/>
              <w:left w:val="nil"/>
              <w:bottom w:val="single" w:sz="8" w:space="0" w:color="auto"/>
              <w:right w:val="nil"/>
            </w:tcBorders>
            <w:shd w:val="clear" w:color="000000" w:fill="FFFFFF"/>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lower-level facilities (health centers, dispensaries, clinics and nursing homes)</w:t>
            </w:r>
          </w:p>
        </w:tc>
        <w:tc>
          <w:tcPr>
            <w:tcW w:w="1710" w:type="dxa"/>
            <w:tcBorders>
              <w:top w:val="nil"/>
              <w:left w:val="nil"/>
              <w:bottom w:val="single" w:sz="8" w:space="0" w:color="auto"/>
              <w:right w:val="nil"/>
            </w:tcBorders>
            <w:shd w:val="clear" w:color="000000" w:fill="FFFFFF"/>
            <w:noWrap/>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public facilities</w:t>
            </w:r>
          </w:p>
        </w:tc>
        <w:tc>
          <w:tcPr>
            <w:tcW w:w="2075" w:type="dxa"/>
            <w:tcBorders>
              <w:top w:val="nil"/>
              <w:left w:val="nil"/>
              <w:bottom w:val="single" w:sz="8" w:space="0" w:color="auto"/>
              <w:right w:val="single" w:sz="8" w:space="0" w:color="auto"/>
            </w:tcBorders>
            <w:shd w:val="clear" w:color="000000" w:fill="FFFFFF"/>
            <w:noWrap/>
            <w:vAlign w:val="center"/>
            <w:hideMark/>
          </w:tcPr>
          <w:p w:rsidR="008C7707" w:rsidRPr="00AE55EC" w:rsidRDefault="008C7707" w:rsidP="00551DD6">
            <w:pPr>
              <w:jc w:val="center"/>
              <w:rPr>
                <w:rFonts w:ascii="Times New Roman" w:eastAsia="Times New Roman" w:hAnsi="Times New Roman"/>
                <w:color w:val="000000"/>
              </w:rPr>
            </w:pPr>
            <w:r w:rsidRPr="00AE55EC">
              <w:rPr>
                <w:rFonts w:ascii="Times New Roman" w:eastAsia="Times New Roman" w:hAnsi="Times New Roman"/>
                <w:color w:val="000000"/>
              </w:rPr>
              <w:t>Only private facilities</w:t>
            </w:r>
          </w:p>
        </w:tc>
      </w:tr>
      <w:tr w:rsidR="008C7707" w:rsidRPr="00AE55EC" w:rsidTr="00551DD6">
        <w:trPr>
          <w:trHeight w:val="240"/>
        </w:trPr>
        <w:tc>
          <w:tcPr>
            <w:tcW w:w="2895"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Overall maternal care score</w:t>
            </w:r>
          </w:p>
        </w:tc>
        <w:tc>
          <w:tcPr>
            <w:tcW w:w="171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1.49 (0.4)</w:t>
            </w:r>
          </w:p>
        </w:tc>
        <w:tc>
          <w:tcPr>
            <w:tcW w:w="261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2.62*** (0.</w:t>
            </w:r>
            <w:r>
              <w:rPr>
                <w:rFonts w:ascii="Times New Roman" w:eastAsia="Times New Roman" w:hAnsi="Times New Roman"/>
                <w:color w:val="000000"/>
              </w:rPr>
              <w:t>8</w:t>
            </w:r>
            <w:r w:rsidRPr="00AE55EC">
              <w:rPr>
                <w:rFonts w:ascii="Times New Roman" w:eastAsia="Times New Roman" w:hAnsi="Times New Roman"/>
                <w:color w:val="000000"/>
              </w:rPr>
              <w:t>)</w:t>
            </w:r>
          </w:p>
        </w:tc>
        <w:tc>
          <w:tcPr>
            <w:tcW w:w="23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0.8</w:t>
            </w:r>
            <w:r>
              <w:rPr>
                <w:rFonts w:ascii="Times New Roman" w:eastAsia="Times New Roman" w:hAnsi="Times New Roman"/>
                <w:color w:val="000000"/>
              </w:rPr>
              <w:t>8</w:t>
            </w:r>
            <w:r w:rsidRPr="00AE55EC">
              <w:rPr>
                <w:rFonts w:ascii="Times New Roman" w:eastAsia="Times New Roman" w:hAnsi="Times New Roman"/>
                <w:color w:val="000000"/>
              </w:rPr>
              <w:t xml:space="preserve"> (0.3)</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1.78 (0.6)</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1.0</w:t>
            </w:r>
            <w:r>
              <w:rPr>
                <w:rFonts w:ascii="Times New Roman" w:eastAsia="Times New Roman" w:hAnsi="Times New Roman"/>
                <w:color w:val="000000"/>
              </w:rPr>
              <w:t>9</w:t>
            </w:r>
            <w:r w:rsidRPr="00AE55EC">
              <w:rPr>
                <w:rFonts w:ascii="Times New Roman" w:eastAsia="Times New Roman" w:hAnsi="Times New Roman"/>
                <w:color w:val="000000"/>
              </w:rPr>
              <w:t xml:space="preserve"> (0.3)</w:t>
            </w:r>
          </w:p>
        </w:tc>
      </w:tr>
      <w:tr w:rsidR="008C7707" w:rsidRPr="00AE55EC" w:rsidTr="00551DD6">
        <w:trPr>
          <w:trHeight w:val="240"/>
        </w:trPr>
        <w:tc>
          <w:tcPr>
            <w:tcW w:w="2895"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 xml:space="preserve">Overall </w:t>
            </w:r>
            <w:r>
              <w:rPr>
                <w:rFonts w:ascii="Times New Roman" w:eastAsia="Times New Roman" w:hAnsi="Times New Roman"/>
                <w:color w:val="000000"/>
              </w:rPr>
              <w:t>newborn</w:t>
            </w:r>
            <w:r w:rsidRPr="00AE55EC">
              <w:rPr>
                <w:rFonts w:ascii="Times New Roman" w:eastAsia="Times New Roman" w:hAnsi="Times New Roman"/>
                <w:color w:val="000000"/>
              </w:rPr>
              <w:t xml:space="preserve"> care score</w:t>
            </w:r>
          </w:p>
        </w:tc>
        <w:tc>
          <w:tcPr>
            <w:tcW w:w="171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0.9</w:t>
            </w:r>
            <w:r>
              <w:rPr>
                <w:rFonts w:ascii="Times New Roman" w:eastAsia="Times New Roman" w:hAnsi="Times New Roman"/>
                <w:b/>
                <w:bCs/>
                <w:color w:val="000000"/>
              </w:rPr>
              <w:t>2</w:t>
            </w:r>
            <w:r w:rsidRPr="00AE55EC">
              <w:rPr>
                <w:rFonts w:ascii="Times New Roman" w:eastAsia="Times New Roman" w:hAnsi="Times New Roman"/>
                <w:b/>
                <w:bCs/>
                <w:color w:val="000000"/>
              </w:rPr>
              <w:t xml:space="preserve"> (0.1)</w:t>
            </w:r>
          </w:p>
        </w:tc>
        <w:tc>
          <w:tcPr>
            <w:tcW w:w="261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Pr>
                <w:rFonts w:ascii="Times New Roman" w:eastAsia="Times New Roman" w:hAnsi="Times New Roman"/>
                <w:color w:val="000000"/>
              </w:rPr>
              <w:t>1.00</w:t>
            </w:r>
            <w:r w:rsidRPr="00AE55EC">
              <w:rPr>
                <w:rFonts w:ascii="Times New Roman" w:eastAsia="Times New Roman" w:hAnsi="Times New Roman"/>
                <w:color w:val="000000"/>
              </w:rPr>
              <w:t xml:space="preserve"> (0.</w:t>
            </w:r>
            <w:r>
              <w:rPr>
                <w:rFonts w:ascii="Times New Roman" w:eastAsia="Times New Roman" w:hAnsi="Times New Roman"/>
                <w:color w:val="000000"/>
              </w:rPr>
              <w:t>3</w:t>
            </w:r>
            <w:r w:rsidRPr="00AE55EC">
              <w:rPr>
                <w:rFonts w:ascii="Times New Roman" w:eastAsia="Times New Roman" w:hAnsi="Times New Roman"/>
                <w:color w:val="000000"/>
              </w:rPr>
              <w:t>)</w:t>
            </w:r>
          </w:p>
        </w:tc>
        <w:tc>
          <w:tcPr>
            <w:tcW w:w="23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0.87 (0.1)</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0.98 (0.2)</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0.7</w:t>
            </w:r>
            <w:r>
              <w:rPr>
                <w:rFonts w:ascii="Times New Roman" w:eastAsia="Times New Roman" w:hAnsi="Times New Roman"/>
                <w:color w:val="000000"/>
              </w:rPr>
              <w:t>2</w:t>
            </w:r>
            <w:r w:rsidRPr="00AE55EC">
              <w:rPr>
                <w:rFonts w:ascii="Times New Roman" w:eastAsia="Times New Roman" w:hAnsi="Times New Roman"/>
                <w:color w:val="000000"/>
              </w:rPr>
              <w:t>** (0.</w:t>
            </w:r>
            <w:r>
              <w:rPr>
                <w:rFonts w:ascii="Times New Roman" w:eastAsia="Times New Roman" w:hAnsi="Times New Roman"/>
                <w:color w:val="000000"/>
              </w:rPr>
              <w:t>1</w:t>
            </w:r>
            <w:r w:rsidRPr="00AE55EC">
              <w:rPr>
                <w:rFonts w:ascii="Times New Roman" w:eastAsia="Times New Roman" w:hAnsi="Times New Roman"/>
                <w:color w:val="000000"/>
              </w:rPr>
              <w:t>)</w:t>
            </w:r>
          </w:p>
        </w:tc>
      </w:tr>
      <w:tr w:rsidR="008C7707" w:rsidRPr="00AE55EC" w:rsidTr="00551DD6">
        <w:trPr>
          <w:trHeight w:val="240"/>
        </w:trPr>
        <w:tc>
          <w:tcPr>
            <w:tcW w:w="289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Interpersonal care score</w:t>
            </w:r>
          </w:p>
        </w:tc>
        <w:tc>
          <w:tcPr>
            <w:tcW w:w="171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0.89 (0.</w:t>
            </w:r>
            <w:r>
              <w:rPr>
                <w:rFonts w:ascii="Times New Roman" w:eastAsia="Times New Roman" w:hAnsi="Times New Roman"/>
                <w:b/>
                <w:bCs/>
                <w:color w:val="000000"/>
              </w:rPr>
              <w:t>2</w:t>
            </w:r>
            <w:r w:rsidRPr="00AE55EC">
              <w:rPr>
                <w:rFonts w:ascii="Times New Roman" w:eastAsia="Times New Roman" w:hAnsi="Times New Roman"/>
                <w:b/>
                <w:bCs/>
                <w:color w:val="000000"/>
              </w:rPr>
              <w:t>)</w:t>
            </w:r>
          </w:p>
        </w:tc>
        <w:tc>
          <w:tcPr>
            <w:tcW w:w="26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1.07 (0.3)</w:t>
            </w:r>
          </w:p>
        </w:tc>
        <w:tc>
          <w:tcPr>
            <w:tcW w:w="2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w:t>
            </w:r>
            <w:r>
              <w:rPr>
                <w:rFonts w:ascii="Times New Roman" w:eastAsia="Times New Roman" w:hAnsi="Times New Roman"/>
                <w:color w:val="000000"/>
              </w:rPr>
              <w:t>80</w:t>
            </w:r>
            <w:r w:rsidRPr="00AE55EC">
              <w:rPr>
                <w:rFonts w:ascii="Times New Roman" w:eastAsia="Times New Roman" w:hAnsi="Times New Roman"/>
                <w:color w:val="000000"/>
              </w:rPr>
              <w:t xml:space="preserve"> (0.1)</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0.92 (0.2)</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0.84** (0.</w:t>
            </w:r>
            <w:r>
              <w:rPr>
                <w:rFonts w:ascii="Times New Roman" w:eastAsia="Times New Roman" w:hAnsi="Times New Roman"/>
                <w:color w:val="000000"/>
              </w:rPr>
              <w:t>1</w:t>
            </w:r>
            <w:r w:rsidRPr="00AE55EC">
              <w:rPr>
                <w:rFonts w:ascii="Times New Roman" w:eastAsia="Times New Roman" w:hAnsi="Times New Roman"/>
                <w:color w:val="000000"/>
              </w:rPr>
              <w:t>)</w:t>
            </w:r>
          </w:p>
        </w:tc>
      </w:tr>
      <w:tr w:rsidR="008C7707" w:rsidRPr="00AE55EC" w:rsidTr="00551DD6">
        <w:trPr>
          <w:trHeight w:val="260"/>
        </w:trPr>
        <w:tc>
          <w:tcPr>
            <w:tcW w:w="2895"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Overall process score</w:t>
            </w:r>
          </w:p>
        </w:tc>
        <w:tc>
          <w:tcPr>
            <w:tcW w:w="171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C7707" w:rsidRPr="00AE55EC" w:rsidRDefault="008C7707" w:rsidP="00551DD6">
            <w:pPr>
              <w:rPr>
                <w:rFonts w:ascii="Times New Roman" w:eastAsia="Times New Roman" w:hAnsi="Times New Roman"/>
                <w:b/>
                <w:bCs/>
                <w:color w:val="000000"/>
              </w:rPr>
            </w:pPr>
            <w:r w:rsidRPr="00AE55EC">
              <w:rPr>
                <w:rFonts w:ascii="Times New Roman" w:eastAsia="Times New Roman" w:hAnsi="Times New Roman"/>
                <w:b/>
                <w:bCs/>
                <w:color w:val="000000"/>
              </w:rPr>
              <w:t>1.09 (0.2)</w:t>
            </w:r>
          </w:p>
        </w:tc>
        <w:tc>
          <w:tcPr>
            <w:tcW w:w="26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1.4</w:t>
            </w:r>
            <w:r>
              <w:rPr>
                <w:rFonts w:ascii="Times New Roman" w:eastAsia="Times New Roman" w:hAnsi="Times New Roman"/>
                <w:color w:val="000000"/>
              </w:rPr>
              <w:t>3</w:t>
            </w:r>
            <w:r w:rsidRPr="00AE55EC">
              <w:rPr>
                <w:rFonts w:ascii="Times New Roman" w:eastAsia="Times New Roman" w:hAnsi="Times New Roman"/>
                <w:color w:val="000000"/>
              </w:rPr>
              <w:t xml:space="preserve"> (0.</w:t>
            </w:r>
            <w:r>
              <w:rPr>
                <w:rFonts w:ascii="Times New Roman" w:eastAsia="Times New Roman" w:hAnsi="Times New Roman"/>
                <w:color w:val="000000"/>
              </w:rPr>
              <w:t>4</w:t>
            </w:r>
            <w:r w:rsidRPr="00AE55EC">
              <w:rPr>
                <w:rFonts w:ascii="Times New Roman" w:eastAsia="Times New Roman" w:hAnsi="Times New Roman"/>
                <w:color w:val="000000"/>
              </w:rPr>
              <w:t>)</w:t>
            </w:r>
          </w:p>
        </w:tc>
        <w:tc>
          <w:tcPr>
            <w:tcW w:w="2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0.86 (0.</w:t>
            </w:r>
            <w:r>
              <w:rPr>
                <w:rFonts w:ascii="Times New Roman" w:eastAsia="Times New Roman" w:hAnsi="Times New Roman"/>
                <w:color w:val="000000"/>
              </w:rPr>
              <w:t>2</w:t>
            </w:r>
            <w:r w:rsidRPr="00AE55EC">
              <w:rPr>
                <w:rFonts w:ascii="Times New Roman" w:eastAsia="Times New Roman" w:hAnsi="Times New Roman"/>
                <w:color w:val="000000"/>
              </w:rPr>
              <w:t>)</w:t>
            </w:r>
          </w:p>
        </w:tc>
        <w:tc>
          <w:tcPr>
            <w:tcW w:w="171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1.</w:t>
            </w:r>
            <w:r>
              <w:rPr>
                <w:rFonts w:ascii="Times New Roman" w:eastAsia="Times New Roman" w:hAnsi="Times New Roman"/>
                <w:color w:val="000000"/>
              </w:rPr>
              <w:t>20</w:t>
            </w:r>
            <w:r w:rsidRPr="00AE55EC">
              <w:rPr>
                <w:rFonts w:ascii="Times New Roman" w:eastAsia="Times New Roman" w:hAnsi="Times New Roman"/>
                <w:color w:val="000000"/>
              </w:rPr>
              <w:t xml:space="preserve"> (0.</w:t>
            </w:r>
            <w:r>
              <w:rPr>
                <w:rFonts w:ascii="Times New Roman" w:eastAsia="Times New Roman" w:hAnsi="Times New Roman"/>
                <w:color w:val="000000"/>
              </w:rPr>
              <w:t>3</w:t>
            </w:r>
            <w:r w:rsidRPr="00AE55EC">
              <w:rPr>
                <w:rFonts w:ascii="Times New Roman" w:eastAsia="Times New Roman" w:hAnsi="Times New Roman"/>
                <w:color w:val="000000"/>
              </w:rPr>
              <w:t>)</w:t>
            </w:r>
          </w:p>
        </w:tc>
        <w:tc>
          <w:tcPr>
            <w:tcW w:w="207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7707" w:rsidRPr="00AE55EC" w:rsidRDefault="008C7707" w:rsidP="00551DD6">
            <w:pPr>
              <w:rPr>
                <w:rFonts w:ascii="Times New Roman" w:eastAsia="Times New Roman" w:hAnsi="Times New Roman"/>
                <w:color w:val="000000"/>
              </w:rPr>
            </w:pPr>
            <w:r w:rsidRPr="00AE55EC">
              <w:rPr>
                <w:rFonts w:ascii="Times New Roman" w:eastAsia="Times New Roman" w:hAnsi="Times New Roman"/>
                <w:color w:val="000000"/>
              </w:rPr>
              <w:t>0.84 (0.1)</w:t>
            </w:r>
          </w:p>
        </w:tc>
      </w:tr>
    </w:tbl>
    <w:p w:rsidR="008C7707" w:rsidRPr="0015163B" w:rsidRDefault="008C7707" w:rsidP="008C7707">
      <w:pPr>
        <w:widowControl w:val="0"/>
        <w:autoSpaceDE w:val="0"/>
        <w:autoSpaceDN w:val="0"/>
        <w:adjustRightInd w:val="0"/>
        <w:jc w:val="both"/>
        <w:rPr>
          <w:rFonts w:ascii="Times New Roman" w:hAnsi="Times New Roman"/>
          <w:sz w:val="22"/>
          <w:szCs w:val="22"/>
        </w:rPr>
      </w:pPr>
      <w:r w:rsidRPr="0015163B">
        <w:rPr>
          <w:rFonts w:ascii="Times New Roman" w:hAnsi="Times New Roman"/>
          <w:sz w:val="22"/>
          <w:szCs w:val="22"/>
        </w:rPr>
        <w:t xml:space="preserve">*** </w:t>
      </w:r>
      <w:proofErr w:type="gramStart"/>
      <w:r w:rsidRPr="0015163B">
        <w:rPr>
          <w:rFonts w:ascii="Times New Roman" w:hAnsi="Times New Roman"/>
          <w:sz w:val="22"/>
          <w:szCs w:val="22"/>
        </w:rPr>
        <w:t>p</w:t>
      </w:r>
      <w:proofErr w:type="gramEnd"/>
      <w:r w:rsidRPr="0015163B">
        <w:rPr>
          <w:rFonts w:ascii="Times New Roman" w:hAnsi="Times New Roman"/>
          <w:sz w:val="22"/>
          <w:szCs w:val="22"/>
        </w:rPr>
        <w:t xml:space="preserve">&lt;0.01, ** p&lt;0.05, * p&lt;0.1. </w:t>
      </w:r>
    </w:p>
    <w:p w:rsidR="008C7707" w:rsidRPr="0015163B" w:rsidRDefault="008C7707" w:rsidP="008C7707">
      <w:pPr>
        <w:widowControl w:val="0"/>
        <w:autoSpaceDE w:val="0"/>
        <w:autoSpaceDN w:val="0"/>
        <w:adjustRightInd w:val="0"/>
        <w:jc w:val="both"/>
        <w:rPr>
          <w:rFonts w:ascii="Times New Roman" w:hAnsi="Times New Roman"/>
          <w:sz w:val="22"/>
          <w:szCs w:val="22"/>
        </w:rPr>
      </w:pPr>
      <w:r w:rsidRPr="0015163B">
        <w:rPr>
          <w:rFonts w:ascii="Times New Roman" w:hAnsi="Times New Roman"/>
          <w:sz w:val="22"/>
          <w:szCs w:val="22"/>
        </w:rPr>
        <w:t xml:space="preserve">Notes: Results reported as odds ratios; robust standard errors clustered at the health facility level. Models include categorical variables for facility type and sector and client socioeconomic status quintile. DD estimator is the interaction between phase and post dummies. </w:t>
      </w:r>
    </w:p>
    <w:p w:rsidR="00C60F93" w:rsidRDefault="00C60F93">
      <w:bookmarkStart w:id="0" w:name="_GoBack"/>
      <w:bookmarkEnd w:id="0"/>
    </w:p>
    <w:sectPr w:rsidR="00C60F93" w:rsidSect="008C7707">
      <w:pgSz w:w="15840" w:h="12240" w:orient="landscape"/>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07"/>
    <w:rsid w:val="008C7707"/>
    <w:rsid w:val="00C6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FE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0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0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Watt</dc:creator>
  <cp:keywords/>
  <dc:description/>
  <cp:lastModifiedBy>Claire Watt</cp:lastModifiedBy>
  <cp:revision>1</cp:revision>
  <dcterms:created xsi:type="dcterms:W3CDTF">2015-03-07T09:20:00Z</dcterms:created>
  <dcterms:modified xsi:type="dcterms:W3CDTF">2015-03-07T09:20:00Z</dcterms:modified>
</cp:coreProperties>
</file>