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8F3FC" w14:textId="77777777" w:rsidR="008F42E5" w:rsidRPr="004A1690" w:rsidRDefault="008F42E5" w:rsidP="004A1690">
      <w:pPr>
        <w:spacing w:line="480" w:lineRule="auto"/>
        <w:ind w:left="-540"/>
        <w:jc w:val="both"/>
        <w:rPr>
          <w:rFonts w:asciiTheme="majorBidi" w:hAnsiTheme="majorBidi" w:cstheme="majorBidi"/>
          <w:u w:val="single"/>
        </w:rPr>
      </w:pPr>
      <w:bookmarkStart w:id="0" w:name="_GoBack"/>
      <w:bookmarkEnd w:id="0"/>
      <w:r w:rsidRPr="004A1690">
        <w:rPr>
          <w:rFonts w:asciiTheme="majorBidi" w:hAnsiTheme="majorBidi" w:cstheme="majorBidi"/>
          <w:b/>
          <w:u w:val="single"/>
        </w:rPr>
        <w:t>Table S1 Description of Simulation Parameters</w:t>
      </w:r>
    </w:p>
    <w:tbl>
      <w:tblPr>
        <w:tblW w:w="101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36"/>
        <w:gridCol w:w="34"/>
        <w:gridCol w:w="4466"/>
        <w:gridCol w:w="124"/>
        <w:gridCol w:w="270"/>
        <w:gridCol w:w="720"/>
        <w:gridCol w:w="270"/>
        <w:gridCol w:w="3780"/>
        <w:gridCol w:w="270"/>
      </w:tblGrid>
      <w:tr w:rsidR="008F42E5" w:rsidRPr="00802378" w14:paraId="6FFF816C" w14:textId="77777777" w:rsidTr="008151A0">
        <w:tc>
          <w:tcPr>
            <w:tcW w:w="4736" w:type="dxa"/>
            <w:gridSpan w:val="3"/>
            <w:shd w:val="clear" w:color="auto" w:fill="auto"/>
          </w:tcPr>
          <w:p w14:paraId="1524E164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  <w:b/>
              </w:rPr>
            </w:pPr>
            <w:r w:rsidRPr="00802378">
              <w:rPr>
                <w:rFonts w:asciiTheme="majorBidi" w:hAnsiTheme="majorBidi" w:cstheme="majorBidi"/>
                <w:b/>
              </w:rPr>
              <w:t>Parameter description</w:t>
            </w:r>
          </w:p>
        </w:tc>
        <w:tc>
          <w:tcPr>
            <w:tcW w:w="1384" w:type="dxa"/>
            <w:gridSpan w:val="4"/>
            <w:shd w:val="clear" w:color="auto" w:fill="auto"/>
          </w:tcPr>
          <w:p w14:paraId="42E780CF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  <w:b/>
              </w:rPr>
            </w:pPr>
            <w:r w:rsidRPr="00802378">
              <w:rPr>
                <w:rFonts w:asciiTheme="majorBidi" w:hAnsiTheme="majorBidi" w:cstheme="majorBidi"/>
                <w:b/>
              </w:rPr>
              <w:t>Symbol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64569FA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  <w:b/>
              </w:rPr>
            </w:pPr>
            <w:r w:rsidRPr="00802378">
              <w:rPr>
                <w:rFonts w:asciiTheme="majorBidi" w:hAnsiTheme="majorBidi" w:cstheme="majorBidi"/>
                <w:b/>
              </w:rPr>
              <w:t>Value / Range of values / Calculation</w:t>
            </w:r>
          </w:p>
        </w:tc>
      </w:tr>
      <w:tr w:rsidR="008F42E5" w:rsidRPr="00802378" w14:paraId="38C4DB7F" w14:textId="77777777" w:rsidTr="008151A0">
        <w:tc>
          <w:tcPr>
            <w:tcW w:w="5130" w:type="dxa"/>
            <w:gridSpan w:val="5"/>
            <w:shd w:val="clear" w:color="auto" w:fill="auto"/>
          </w:tcPr>
          <w:p w14:paraId="3814F1C3" w14:textId="77777777" w:rsidR="008F42E5" w:rsidRPr="00802378" w:rsidRDefault="008F42E5" w:rsidP="004A1690">
            <w:pPr>
              <w:spacing w:before="120"/>
              <w:jc w:val="both"/>
              <w:rPr>
                <w:rFonts w:asciiTheme="majorBidi" w:hAnsiTheme="majorBidi" w:cstheme="majorBidi"/>
                <w:i/>
              </w:rPr>
            </w:pPr>
            <w:r w:rsidRPr="00802378">
              <w:rPr>
                <w:rFonts w:asciiTheme="majorBidi" w:hAnsiTheme="majorBidi" w:cstheme="majorBidi"/>
                <w:i/>
              </w:rPr>
              <w:t>Monte Carlo parameters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68BA47A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06319F9C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8F42E5" w:rsidRPr="00802378" w14:paraId="30DF7D85" w14:textId="77777777" w:rsidTr="004A1690">
        <w:trPr>
          <w:gridAfter w:val="1"/>
          <w:wAfter w:w="270" w:type="dxa"/>
        </w:trPr>
        <w:tc>
          <w:tcPr>
            <w:tcW w:w="236" w:type="dxa"/>
            <w:shd w:val="clear" w:color="auto" w:fill="auto"/>
          </w:tcPr>
          <w:p w14:paraId="732556F9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624" w:type="dxa"/>
            <w:gridSpan w:val="3"/>
            <w:shd w:val="clear" w:color="auto" w:fill="auto"/>
          </w:tcPr>
          <w:p w14:paraId="7A86855D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Lattice step size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5B74B2E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33CBEA12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Theme="majorBidi" w:cstheme="majorBidi"/>
                </w:rPr>
                <m:t>1</m:t>
              </m:r>
              <m:r>
                <w:rPr>
                  <w:rFonts w:ascii="Cambria Math" w:hAnsi="Cambria Math" w:cstheme="majorBidi"/>
                </w:rPr>
                <m:t>n</m:t>
              </m:r>
              <m:r>
                <w:rPr>
                  <w:rFonts w:ascii="Cambria Math" w:eastAsia="MS Mincho" w:hAnsi="Cambria Math" w:cstheme="majorBidi"/>
                </w:rPr>
                <m:t>m</m:t>
              </m:r>
            </m:oMath>
            <w:r w:rsidRPr="00802378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F42E5" w:rsidRPr="00802378" w14:paraId="0DF212CE" w14:textId="77777777" w:rsidTr="004A1690">
        <w:trPr>
          <w:gridAfter w:val="1"/>
          <w:wAfter w:w="270" w:type="dxa"/>
        </w:trPr>
        <w:tc>
          <w:tcPr>
            <w:tcW w:w="236" w:type="dxa"/>
            <w:shd w:val="clear" w:color="auto" w:fill="auto"/>
          </w:tcPr>
          <w:p w14:paraId="08DF2E03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624" w:type="dxa"/>
            <w:gridSpan w:val="3"/>
            <w:shd w:val="clear" w:color="auto" w:fill="auto"/>
          </w:tcPr>
          <w:p w14:paraId="74F4E2A2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Simulation box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1A74DDF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3A6348F1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Theme="majorBidi" w:cstheme="majorBidi"/>
                </w:rPr>
                <m:t>2</m:t>
              </m:r>
              <m:r>
                <w:rPr>
                  <w:rFonts w:ascii="Cambria Math" w:hAnsi="Cambria Math" w:cstheme="majorBidi"/>
                </w:rPr>
                <m:t>μm</m:t>
              </m:r>
              <m:r>
                <w:rPr>
                  <w:rFonts w:asciiTheme="minorBidi" w:hAnsiTheme="majorBidi" w:cstheme="majorBidi"/>
                </w:rPr>
                <m:t>×</m:t>
              </m:r>
              <m:r>
                <w:rPr>
                  <w:rFonts w:ascii="Cambria Math" w:eastAsia="MS Mincho" w:hAnsiTheme="majorBidi" w:cstheme="majorBidi"/>
                </w:rPr>
                <m:t>2</m:t>
              </m:r>
              <m:r>
                <w:rPr>
                  <w:rFonts w:ascii="Cambria Math" w:eastAsia="MS Mincho" w:hAnsi="Cambria Math" w:cstheme="majorBidi"/>
                </w:rPr>
                <m:t>μm</m:t>
              </m:r>
            </m:oMath>
            <w:r w:rsidRPr="00802378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F42E5" w:rsidRPr="00802378" w14:paraId="4C6C8C4D" w14:textId="77777777" w:rsidTr="004A1690">
        <w:trPr>
          <w:gridAfter w:val="1"/>
          <w:wAfter w:w="270" w:type="dxa"/>
        </w:trPr>
        <w:tc>
          <w:tcPr>
            <w:tcW w:w="236" w:type="dxa"/>
            <w:shd w:val="clear" w:color="auto" w:fill="auto"/>
          </w:tcPr>
          <w:p w14:paraId="1AC826BB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624" w:type="dxa"/>
            <w:gridSpan w:val="3"/>
            <w:shd w:val="clear" w:color="auto" w:fill="auto"/>
          </w:tcPr>
          <w:p w14:paraId="0B8288C3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Observation area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9C5567D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1293D55A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Theme="majorBidi" w:cstheme="majorBidi"/>
                  </w:rPr>
                  <m:t>1.6</m:t>
                </m:r>
                <m:r>
                  <w:rPr>
                    <w:rFonts w:ascii="Cambria Math" w:hAnsi="Cambria Math" w:cstheme="majorBidi"/>
                  </w:rPr>
                  <m:t>μm</m:t>
                </m:r>
                <m:r>
                  <w:rPr>
                    <w:rFonts w:asciiTheme="minorBidi" w:hAnsiTheme="majorBidi" w:cstheme="majorBidi"/>
                  </w:rPr>
                  <m:t>×</m:t>
                </m:r>
                <m:r>
                  <w:rPr>
                    <w:rFonts w:ascii="Cambria Math" w:eastAsia="MS Mincho" w:hAnsiTheme="majorBidi" w:cstheme="majorBidi"/>
                  </w:rPr>
                  <m:t>1.6</m:t>
                </m:r>
                <m:r>
                  <w:rPr>
                    <w:rFonts w:ascii="Cambria Math" w:eastAsia="MS Mincho" w:hAnsi="Cambria Math" w:cstheme="majorBidi"/>
                  </w:rPr>
                  <m:t>μm</m:t>
                </m:r>
              </m:oMath>
            </m:oMathPara>
          </w:p>
        </w:tc>
      </w:tr>
      <w:tr w:rsidR="008F42E5" w:rsidRPr="00802378" w14:paraId="4E6BADD2" w14:textId="77777777" w:rsidTr="004A1690">
        <w:trPr>
          <w:gridAfter w:val="1"/>
          <w:wAfter w:w="270" w:type="dxa"/>
        </w:trPr>
        <w:tc>
          <w:tcPr>
            <w:tcW w:w="236" w:type="dxa"/>
            <w:shd w:val="clear" w:color="auto" w:fill="auto"/>
          </w:tcPr>
          <w:p w14:paraId="7B4F3F0F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624" w:type="dxa"/>
            <w:gridSpan w:val="3"/>
            <w:shd w:val="clear" w:color="auto" w:fill="auto"/>
          </w:tcPr>
          <w:p w14:paraId="2A332187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Total simulated time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69A1449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6008D8A2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Theme="majorBidi" w:cstheme="majorBidi"/>
                </w:rPr>
                <m:t xml:space="preserve">&gt;40 </m:t>
              </m:r>
              <m:r>
                <w:rPr>
                  <w:rFonts w:ascii="Cambria Math" w:hAnsi="Cambria Math" w:cstheme="majorBidi"/>
                </w:rPr>
                <m:t>sec</m:t>
              </m:r>
            </m:oMath>
            <w:r w:rsidRPr="00802378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F42E5" w:rsidRPr="00802378" w14:paraId="750E007B" w14:textId="77777777" w:rsidTr="004A1690">
        <w:trPr>
          <w:gridAfter w:val="1"/>
          <w:wAfter w:w="270" w:type="dxa"/>
        </w:trPr>
        <w:tc>
          <w:tcPr>
            <w:tcW w:w="236" w:type="dxa"/>
            <w:shd w:val="clear" w:color="auto" w:fill="auto"/>
          </w:tcPr>
          <w:p w14:paraId="13F82B81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624" w:type="dxa"/>
            <w:gridSpan w:val="3"/>
            <w:shd w:val="clear" w:color="auto" w:fill="auto"/>
          </w:tcPr>
          <w:p w14:paraId="32A9C204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Number of molecules in frame for FCS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584D83D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44686C42" w14:textId="77777777" w:rsidR="008F42E5" w:rsidRPr="00802378" w:rsidRDefault="008F42E5" w:rsidP="004A1690">
            <w:pPr>
              <w:jc w:val="both"/>
              <w:rPr>
                <w:rFonts w:asciiTheme="majorBidi" w:eastAsia="Calibr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Theme="majorBidi" w:cstheme="majorBidi"/>
                  </w:rPr>
                  <m:t>100</m:t>
                </m:r>
                <m:r>
                  <m:rPr>
                    <m:sty m:val="p"/>
                  </m:rPr>
                  <w:rPr>
                    <w:rFonts w:asciiTheme="minorBidi" w:eastAsia="MS Gothic" w:hAnsiTheme="majorBidi" w:cstheme="majorBidi"/>
                    <w:color w:val="000000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 xml:space="preserve"> 20 </m:t>
                </m:r>
              </m:oMath>
            </m:oMathPara>
          </w:p>
        </w:tc>
      </w:tr>
      <w:tr w:rsidR="008F42E5" w:rsidRPr="00802378" w14:paraId="5DA6CF50" w14:textId="77777777" w:rsidTr="008151A0">
        <w:tc>
          <w:tcPr>
            <w:tcW w:w="10170" w:type="dxa"/>
            <w:gridSpan w:val="9"/>
            <w:shd w:val="clear" w:color="auto" w:fill="auto"/>
          </w:tcPr>
          <w:p w14:paraId="35356D17" w14:textId="77777777" w:rsidR="008F42E5" w:rsidRPr="00802378" w:rsidRDefault="008F42E5" w:rsidP="004A1690">
            <w:pPr>
              <w:spacing w:before="120"/>
              <w:jc w:val="both"/>
              <w:rPr>
                <w:rFonts w:asciiTheme="majorBidi" w:eastAsia="Calibri" w:hAnsiTheme="majorBidi" w:cstheme="majorBidi"/>
                <w:i/>
              </w:rPr>
            </w:pPr>
            <w:r w:rsidRPr="00802378">
              <w:rPr>
                <w:rFonts w:asciiTheme="majorBidi" w:hAnsiTheme="majorBidi" w:cstheme="majorBidi"/>
                <w:i/>
              </w:rPr>
              <w:t xml:space="preserve">Parameters to match simulation to experimental conditions </w:t>
            </w:r>
          </w:p>
        </w:tc>
      </w:tr>
      <w:tr w:rsidR="008F42E5" w:rsidRPr="00802378" w14:paraId="72A6DD06" w14:textId="77777777" w:rsidTr="008151A0">
        <w:tc>
          <w:tcPr>
            <w:tcW w:w="236" w:type="dxa"/>
            <w:shd w:val="clear" w:color="auto" w:fill="auto"/>
          </w:tcPr>
          <w:p w14:paraId="636C2699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4711A30F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Free diffusion coefficient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AA94A5F" w14:textId="77777777" w:rsidR="008F42E5" w:rsidRPr="00802378" w:rsidRDefault="00B406D4" w:rsidP="004A1690">
            <w:pPr>
              <w:jc w:val="both"/>
              <w:rPr>
                <w:rFonts w:asciiTheme="majorBidi" w:hAnsiTheme="majorBidi" w:cstheme="majorBidi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out</m:t>
                    </m:r>
                  </m:sup>
                </m:sSup>
              </m:oMath>
            </m:oMathPara>
          </w:p>
        </w:tc>
        <w:tc>
          <w:tcPr>
            <w:tcW w:w="4050" w:type="dxa"/>
            <w:gridSpan w:val="2"/>
            <w:shd w:val="clear" w:color="auto" w:fill="auto"/>
          </w:tcPr>
          <w:p w14:paraId="1B96E2C6" w14:textId="77777777" w:rsidR="008F42E5" w:rsidRPr="00802378" w:rsidRDefault="008F42E5" w:rsidP="004A1690">
            <w:pPr>
              <w:jc w:val="both"/>
              <w:rPr>
                <w:rFonts w:asciiTheme="majorBidi" w:eastAsia="MS Mincho" w:hAnsiTheme="majorBidi" w:cstheme="majorBidi"/>
              </w:rPr>
            </w:pPr>
            <w:r w:rsidRPr="00802378">
              <w:rPr>
                <w:rFonts w:asciiTheme="majorBidi" w:eastAsia="MS Mincho" w:hAnsiTheme="majorBidi" w:cstheme="majorBidi"/>
              </w:rPr>
              <w:t xml:space="preserve">in supported lipid bilayer </w:t>
            </w:r>
            <m:oMath>
              <m:r>
                <w:rPr>
                  <w:rFonts w:ascii="Cambria Math" w:hAnsiTheme="majorBidi" w:cstheme="majorBidi"/>
                </w:rPr>
                <m:t>2.5</m:t>
              </m:r>
              <m:f>
                <m:fPr>
                  <m:type m:val="lin"/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μm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Bidi"/>
                    </w:rPr>
                    <m:t>sec</m:t>
                  </m:r>
                </m:den>
              </m:f>
            </m:oMath>
            <w:r w:rsidRPr="00802378">
              <w:rPr>
                <w:rFonts w:asciiTheme="majorBidi" w:eastAsia="MS Mincho" w:hAnsiTheme="majorBidi" w:cstheme="majorBidi"/>
              </w:rPr>
              <w:t xml:space="preserve">; </w:t>
            </w:r>
          </w:p>
          <w:p w14:paraId="06868B9E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eastAsia="MS Mincho" w:hAnsiTheme="majorBidi" w:cstheme="majorBidi"/>
              </w:rPr>
              <w:t xml:space="preserve">on cells </w:t>
            </w:r>
            <m:oMath>
              <m:r>
                <w:rPr>
                  <w:rFonts w:ascii="Cambria Math" w:hAnsiTheme="majorBidi" w:cstheme="majorBidi"/>
                </w:rPr>
                <m:t>1.3</m:t>
              </m:r>
              <m:f>
                <m:fPr>
                  <m:type m:val="lin"/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μm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Bidi"/>
                    </w:rPr>
                    <m:t>sec</m:t>
                  </m:r>
                </m:den>
              </m:f>
              <m:r>
                <w:rPr>
                  <w:rFonts w:ascii="Cambria Math" w:hAnsiTheme="majorBidi" w:cstheme="majorBidi"/>
                </w:rPr>
                <m:t xml:space="preserve"> </m:t>
              </m:r>
            </m:oMath>
            <w:r w:rsidRPr="00802378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F42E5" w:rsidRPr="00802378" w14:paraId="5953C902" w14:textId="77777777" w:rsidTr="008151A0">
        <w:tc>
          <w:tcPr>
            <w:tcW w:w="236" w:type="dxa"/>
            <w:shd w:val="clear" w:color="auto" w:fill="auto"/>
          </w:tcPr>
          <w:p w14:paraId="067A2AF7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17CEFBE8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2D Gaussian width of PSF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AA2B344" w14:textId="77777777" w:rsidR="008F42E5" w:rsidRPr="00802378" w:rsidRDefault="008F42E5" w:rsidP="004A1690">
            <w:pPr>
              <w:jc w:val="both"/>
              <w:rPr>
                <w:rFonts w:asciiTheme="majorBidi" w:eastAsia="Calibr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σ</m:t>
                </m:r>
              </m:oMath>
            </m:oMathPara>
          </w:p>
        </w:tc>
        <w:tc>
          <w:tcPr>
            <w:tcW w:w="4050" w:type="dxa"/>
            <w:gridSpan w:val="2"/>
            <w:shd w:val="clear" w:color="auto" w:fill="auto"/>
          </w:tcPr>
          <w:p w14:paraId="4EC43C8D" w14:textId="77777777" w:rsidR="008F42E5" w:rsidRPr="00802378" w:rsidRDefault="008F42E5" w:rsidP="004A1690">
            <w:pPr>
              <w:jc w:val="both"/>
              <w:rPr>
                <w:rFonts w:asciiTheme="majorBidi" w:eastAsia="MS Mincho" w:hAnsiTheme="majorBidi" w:cstheme="majorBidi"/>
              </w:rPr>
            </w:pPr>
            <m:oMath>
              <m:r>
                <w:rPr>
                  <w:rFonts w:ascii="Cambria Math" w:hAnsiTheme="majorBidi" w:cstheme="majorBidi"/>
                </w:rPr>
                <m:t>108.8</m:t>
              </m:r>
              <m:r>
                <w:rPr>
                  <w:rFonts w:ascii="Cambria Math" w:hAnsi="Cambria Math" w:cstheme="majorBidi"/>
                </w:rPr>
                <m:t>nm</m:t>
              </m:r>
            </m:oMath>
            <w:r w:rsidRPr="00802378">
              <w:rPr>
                <w:rFonts w:asciiTheme="majorBidi" w:eastAsia="MS Mincho" w:hAnsiTheme="majorBidi" w:cstheme="majorBidi"/>
              </w:rPr>
              <w:t xml:space="preserve"> </w:t>
            </w:r>
          </w:p>
        </w:tc>
      </w:tr>
      <w:tr w:rsidR="008F42E5" w:rsidRPr="00802378" w14:paraId="3BA43447" w14:textId="77777777" w:rsidTr="008151A0">
        <w:tc>
          <w:tcPr>
            <w:tcW w:w="236" w:type="dxa"/>
            <w:shd w:val="clear" w:color="auto" w:fill="auto"/>
          </w:tcPr>
          <w:p w14:paraId="7E533F1E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5AA96998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Camera pixel size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044C443" w14:textId="77777777" w:rsidR="008F42E5" w:rsidRPr="00802378" w:rsidRDefault="008F42E5" w:rsidP="004A1690">
            <w:pPr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592A0239" w14:textId="77777777" w:rsidR="008F42E5" w:rsidRPr="00802378" w:rsidRDefault="008F42E5" w:rsidP="004A1690">
            <w:pPr>
              <w:jc w:val="both"/>
              <w:rPr>
                <w:rFonts w:asciiTheme="majorBidi" w:eastAsia="Calibri" w:hAnsiTheme="majorBidi" w:cstheme="majorBidi"/>
              </w:rPr>
            </w:pPr>
            <m:oMath>
              <m:r>
                <w:rPr>
                  <w:rFonts w:ascii="Cambria Math" w:eastAsia="Calibri" w:hAnsiTheme="majorBidi" w:cstheme="majorBidi"/>
                </w:rPr>
                <m:t xml:space="preserve">64 </m:t>
              </m:r>
              <m:r>
                <w:rPr>
                  <w:rFonts w:ascii="Cambria Math" w:eastAsia="Calibri" w:hAnsi="Cambria Math" w:cstheme="majorBidi"/>
                </w:rPr>
                <m:t>nm</m:t>
              </m:r>
            </m:oMath>
            <w:r w:rsidRPr="00802378">
              <w:rPr>
                <w:rFonts w:asciiTheme="majorBidi" w:eastAsia="Calibri" w:hAnsiTheme="majorBidi" w:cstheme="majorBidi"/>
              </w:rPr>
              <w:t xml:space="preserve"> </w:t>
            </w:r>
          </w:p>
        </w:tc>
      </w:tr>
      <w:tr w:rsidR="008F42E5" w:rsidRPr="00802378" w14:paraId="6DBAD77B" w14:textId="77777777" w:rsidTr="008151A0">
        <w:tc>
          <w:tcPr>
            <w:tcW w:w="236" w:type="dxa"/>
            <w:shd w:val="clear" w:color="auto" w:fill="auto"/>
          </w:tcPr>
          <w:p w14:paraId="25764D07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4675D917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Effective waist of detection spot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2160F23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ω</m:t>
                </m:r>
              </m:oMath>
            </m:oMathPara>
          </w:p>
        </w:tc>
        <w:tc>
          <w:tcPr>
            <w:tcW w:w="4050" w:type="dxa"/>
            <w:gridSpan w:val="2"/>
            <w:shd w:val="clear" w:color="auto" w:fill="auto"/>
          </w:tcPr>
          <w:p w14:paraId="134F8C02" w14:textId="77777777" w:rsidR="008F42E5" w:rsidRPr="00802378" w:rsidRDefault="008F42E5" w:rsidP="004A1690">
            <w:pPr>
              <w:jc w:val="both"/>
              <w:rPr>
                <w:rFonts w:asciiTheme="majorBidi" w:eastAsia="Calibri" w:hAnsiTheme="majorBidi" w:cstheme="majorBidi"/>
              </w:rPr>
            </w:pPr>
          </w:p>
        </w:tc>
      </w:tr>
      <w:tr w:rsidR="008F42E5" w:rsidRPr="00802378" w14:paraId="3E89DA3E" w14:textId="77777777" w:rsidTr="008151A0">
        <w:tc>
          <w:tcPr>
            <w:tcW w:w="236" w:type="dxa"/>
            <w:shd w:val="clear" w:color="auto" w:fill="auto"/>
          </w:tcPr>
          <w:p w14:paraId="33E970B6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1D95C6AB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 xml:space="preserve">Camera frame time 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5F34BB7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31AC6ACC" w14:textId="77777777" w:rsidR="008F42E5" w:rsidRPr="00802378" w:rsidRDefault="008F42E5" w:rsidP="004A1690">
            <w:pPr>
              <w:jc w:val="both"/>
              <w:rPr>
                <w:rFonts w:asciiTheme="majorBidi" w:eastAsia="Calibri" w:hAnsiTheme="majorBidi" w:cstheme="majorBidi"/>
              </w:rPr>
            </w:pPr>
            <w:r w:rsidRPr="00802378">
              <w:rPr>
                <w:rFonts w:asciiTheme="majorBidi" w:eastAsia="Calibri" w:hAnsiTheme="majorBidi" w:cstheme="majorBidi"/>
              </w:rPr>
              <w:t>1.5ms; or 1000 MCS steps</w:t>
            </w:r>
          </w:p>
        </w:tc>
      </w:tr>
      <w:tr w:rsidR="008F42E5" w:rsidRPr="00802378" w14:paraId="1AE6F694" w14:textId="77777777" w:rsidTr="008151A0">
        <w:tc>
          <w:tcPr>
            <w:tcW w:w="236" w:type="dxa"/>
            <w:shd w:val="clear" w:color="auto" w:fill="auto"/>
          </w:tcPr>
          <w:p w14:paraId="498656F6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41C2FE6C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Number of molecules in each frame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0A75404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5E4F150A" w14:textId="77777777" w:rsidR="008F42E5" w:rsidRPr="00802378" w:rsidRDefault="008F42E5" w:rsidP="004A1690">
            <w:pPr>
              <w:jc w:val="both"/>
              <w:rPr>
                <w:rFonts w:asciiTheme="majorBidi" w:eastAsia="Calibr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Theme="majorBidi" w:cstheme="majorBidi"/>
                  </w:rPr>
                  <m:t>100</m:t>
                </m:r>
                <m:r>
                  <m:rPr>
                    <m:sty m:val="p"/>
                  </m:rPr>
                  <w:rPr>
                    <w:rFonts w:asciiTheme="minorBidi" w:eastAsia="MS Gothic" w:hAnsiTheme="majorBidi" w:cstheme="majorBidi"/>
                    <w:color w:val="000000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 xml:space="preserve"> 20</m:t>
                </m:r>
              </m:oMath>
            </m:oMathPara>
          </w:p>
        </w:tc>
      </w:tr>
      <w:tr w:rsidR="008F42E5" w:rsidRPr="00802378" w14:paraId="10A1BB4C" w14:textId="77777777" w:rsidTr="008151A0">
        <w:trPr>
          <w:cantSplit/>
        </w:trPr>
        <w:tc>
          <w:tcPr>
            <w:tcW w:w="5130" w:type="dxa"/>
            <w:gridSpan w:val="5"/>
            <w:shd w:val="clear" w:color="auto" w:fill="auto"/>
          </w:tcPr>
          <w:p w14:paraId="298E4C5B" w14:textId="77777777" w:rsidR="008F42E5" w:rsidRPr="00802378" w:rsidRDefault="008F42E5" w:rsidP="004A1690">
            <w:pPr>
              <w:spacing w:before="120"/>
              <w:jc w:val="both"/>
              <w:rPr>
                <w:rFonts w:asciiTheme="majorBidi" w:hAnsiTheme="majorBidi" w:cstheme="majorBidi"/>
                <w:i/>
              </w:rPr>
            </w:pPr>
            <w:r w:rsidRPr="00802378">
              <w:rPr>
                <w:rFonts w:asciiTheme="majorBidi" w:hAnsiTheme="majorBidi" w:cstheme="majorBidi"/>
                <w:i/>
              </w:rPr>
              <w:t xml:space="preserve">Specific parameters for </w:t>
            </w:r>
            <w:proofErr w:type="spellStart"/>
            <w:r w:rsidRPr="00802378">
              <w:rPr>
                <w:rFonts w:asciiTheme="majorBidi" w:hAnsiTheme="majorBidi" w:cstheme="majorBidi"/>
                <w:i/>
              </w:rPr>
              <w:t>nano</w:t>
            </w:r>
            <w:proofErr w:type="spellEnd"/>
            <w:r w:rsidRPr="00802378">
              <w:rPr>
                <w:rFonts w:asciiTheme="majorBidi" w:hAnsiTheme="majorBidi" w:cstheme="majorBidi"/>
                <w:i/>
              </w:rPr>
              <w:t>-domains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3140890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42995D6B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8F42E5" w:rsidRPr="00802378" w14:paraId="3BEBF109" w14:textId="77777777" w:rsidTr="008151A0">
        <w:tc>
          <w:tcPr>
            <w:tcW w:w="236" w:type="dxa"/>
            <w:shd w:val="clear" w:color="auto" w:fill="auto"/>
          </w:tcPr>
          <w:p w14:paraId="279B1BE4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0489C609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Edge length of domains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47EF055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l</m:t>
                </m:r>
              </m:oMath>
            </m:oMathPara>
          </w:p>
        </w:tc>
        <w:tc>
          <w:tcPr>
            <w:tcW w:w="4050" w:type="dxa"/>
            <w:gridSpan w:val="2"/>
            <w:shd w:val="clear" w:color="auto" w:fill="auto"/>
          </w:tcPr>
          <w:p w14:paraId="04D6B50A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eastAsia="MS Mincho" w:hAnsiTheme="majorBidi" w:cstheme="majorBidi"/>
                </w:rPr>
                <m:t>20</m:t>
              </m:r>
              <m:r>
                <w:rPr>
                  <w:rFonts w:asciiTheme="majorBidi" w:eastAsia="MS Mincho" w:hAnsiTheme="majorBidi" w:cstheme="majorBidi"/>
                </w:rPr>
                <m:t>-</m:t>
              </m:r>
              <m:r>
                <w:rPr>
                  <w:rFonts w:ascii="Cambria Math" w:eastAsia="MS Mincho" w:hAnsiTheme="majorBidi" w:cstheme="majorBidi"/>
                </w:rPr>
                <m:t xml:space="preserve">75 </m:t>
              </m:r>
              <m:r>
                <w:rPr>
                  <w:rFonts w:ascii="Cambria Math" w:hAnsi="Cambria Math" w:cstheme="majorBidi"/>
                </w:rPr>
                <m:t>nm</m:t>
              </m:r>
            </m:oMath>
            <w:r w:rsidRPr="00802378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F42E5" w:rsidRPr="00802378" w14:paraId="0CB8CBC4" w14:textId="77777777" w:rsidTr="008151A0">
        <w:tc>
          <w:tcPr>
            <w:tcW w:w="236" w:type="dxa"/>
            <w:shd w:val="clear" w:color="auto" w:fill="auto"/>
          </w:tcPr>
          <w:p w14:paraId="658ACD25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18ECED58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Fraction of area covered by domains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45A07D5" w14:textId="77777777" w:rsidR="008F42E5" w:rsidRPr="00802378" w:rsidRDefault="008F42E5" w:rsidP="004A1690">
            <w:pPr>
              <w:tabs>
                <w:tab w:val="left" w:pos="382"/>
              </w:tabs>
              <w:jc w:val="both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d</m:t>
                </m:r>
              </m:oMath>
            </m:oMathPara>
          </w:p>
        </w:tc>
        <w:tc>
          <w:tcPr>
            <w:tcW w:w="4050" w:type="dxa"/>
            <w:gridSpan w:val="2"/>
            <w:shd w:val="clear" w:color="auto" w:fill="auto"/>
          </w:tcPr>
          <w:p w14:paraId="1CEB5F6E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0.1</m:t>
                </m:r>
                <m:r>
                  <m:rPr>
                    <m:sty m:val="p"/>
                  </m:rPr>
                  <w:rPr>
                    <w:rFonts w:asciiTheme="minorBidi" w:hAnsiTheme="majorBidi" w:cstheme="majorBidi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0.3</m:t>
                </m:r>
              </m:oMath>
            </m:oMathPara>
          </w:p>
        </w:tc>
      </w:tr>
      <w:tr w:rsidR="008F42E5" w:rsidRPr="00802378" w14:paraId="1687BD12" w14:textId="77777777" w:rsidTr="008151A0">
        <w:tc>
          <w:tcPr>
            <w:tcW w:w="236" w:type="dxa"/>
            <w:shd w:val="clear" w:color="auto" w:fill="auto"/>
          </w:tcPr>
          <w:p w14:paraId="286DD8A6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191D25DC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Relative diffusion coefficient inside domains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E421C53" w14:textId="77777777" w:rsidR="008F42E5" w:rsidRPr="00802378" w:rsidRDefault="00B406D4" w:rsidP="004A1690">
            <w:pPr>
              <w:jc w:val="both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rel</m:t>
                    </m:r>
                  </m:sub>
                </m:sSub>
              </m:oMath>
            </m:oMathPara>
          </w:p>
        </w:tc>
        <w:tc>
          <w:tcPr>
            <w:tcW w:w="4050" w:type="dxa"/>
            <w:gridSpan w:val="2"/>
            <w:shd w:val="clear" w:color="auto" w:fill="auto"/>
          </w:tcPr>
          <w:p w14:paraId="194566DC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eastAsia="MS Mincho" w:hAnsiTheme="majorBidi" w:cstheme="majorBidi"/>
                </w:rPr>
                <m:t>0.1</m:t>
              </m:r>
              <m:r>
                <w:rPr>
                  <w:rFonts w:asciiTheme="majorBidi" w:eastAsia="MS Mincho" w:hAnsiTheme="majorBidi" w:cstheme="majorBidi"/>
                </w:rPr>
                <m:t>-</m:t>
              </m:r>
              <m:r>
                <w:rPr>
                  <w:rFonts w:ascii="Cambria Math" w:eastAsia="MS Mincho" w:hAnsiTheme="majorBidi" w:cstheme="majorBidi"/>
                </w:rPr>
                <m:t>1</m:t>
              </m:r>
            </m:oMath>
            <w:r w:rsidRPr="00802378">
              <w:rPr>
                <w:rFonts w:asciiTheme="majorBidi" w:eastAsia="MS Mincho" w:hAnsiTheme="majorBidi" w:cstheme="majorBidi"/>
              </w:rPr>
              <w:t xml:space="preserve">; </w:t>
            </w:r>
            <w:r w:rsidRPr="00802378">
              <w:rPr>
                <w:rFonts w:asciiTheme="majorBidi" w:hAnsiTheme="majorBidi" w:cstheme="majorBidi"/>
              </w:rPr>
              <w:t xml:space="preserve"> </w:t>
            </w:r>
            <m:oMath>
              <m:f>
                <m:fPr>
                  <m:type m:val="lin"/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in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out</m:t>
                      </m:r>
                    </m:sup>
                  </m:sSup>
                </m:den>
              </m:f>
            </m:oMath>
          </w:p>
        </w:tc>
      </w:tr>
      <w:tr w:rsidR="008F42E5" w:rsidRPr="00802378" w14:paraId="069D22A3" w14:textId="77777777" w:rsidTr="008151A0">
        <w:tc>
          <w:tcPr>
            <w:tcW w:w="236" w:type="dxa"/>
            <w:shd w:val="clear" w:color="auto" w:fill="auto"/>
          </w:tcPr>
          <w:p w14:paraId="706D2963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26D9B09B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Probability of entering a domain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858E4AE" w14:textId="77777777" w:rsidR="008F42E5" w:rsidRPr="00802378" w:rsidRDefault="00B406D4" w:rsidP="004A1690">
            <w:pPr>
              <w:jc w:val="both"/>
              <w:rPr>
                <w:rFonts w:asciiTheme="majorBidi" w:hAnsiTheme="majorBidi"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4050" w:type="dxa"/>
            <w:gridSpan w:val="2"/>
            <w:shd w:val="clear" w:color="auto" w:fill="auto"/>
          </w:tcPr>
          <w:p w14:paraId="5549ADCB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Theme="majorBidi" w:cstheme="majorBidi"/>
                </w:rPr>
                <m:t>1</m:t>
              </m:r>
            </m:oMath>
            <w:r w:rsidRPr="00802378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F42E5" w:rsidRPr="00802378" w14:paraId="04CD8AD3" w14:textId="77777777" w:rsidTr="008151A0">
        <w:trPr>
          <w:trHeight w:val="297"/>
        </w:trPr>
        <w:tc>
          <w:tcPr>
            <w:tcW w:w="236" w:type="dxa"/>
            <w:shd w:val="clear" w:color="auto" w:fill="auto"/>
          </w:tcPr>
          <w:p w14:paraId="55466B2E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098AA4BF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Probability of exiting a domain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6DEEF7B" w14:textId="77777777" w:rsidR="008F42E5" w:rsidRPr="00802378" w:rsidRDefault="00B406D4" w:rsidP="004A1690">
            <w:pPr>
              <w:jc w:val="both"/>
              <w:rPr>
                <w:rFonts w:asciiTheme="majorBidi" w:hAnsiTheme="majorBidi"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out</m:t>
                    </m:r>
                  </m:sub>
                </m:sSub>
              </m:oMath>
            </m:oMathPara>
          </w:p>
        </w:tc>
        <w:tc>
          <w:tcPr>
            <w:tcW w:w="4050" w:type="dxa"/>
            <w:gridSpan w:val="2"/>
            <w:shd w:val="clear" w:color="auto" w:fill="auto"/>
          </w:tcPr>
          <w:p w14:paraId="51960F15" w14:textId="77777777" w:rsidR="008F42E5" w:rsidRPr="00802378" w:rsidRDefault="008F42E5" w:rsidP="004A1690">
            <w:pPr>
              <w:jc w:val="both"/>
              <w:rPr>
                <w:rFonts w:asciiTheme="majorBidi" w:eastAsia="MS Mincho" w:hAnsiTheme="majorBidi" w:cstheme="majorBidi"/>
              </w:rPr>
            </w:pPr>
            <m:oMath>
              <m:r>
                <w:rPr>
                  <w:rFonts w:ascii="Cambria Math" w:eastAsia="MS Mincho" w:hAnsiTheme="majorBidi" w:cstheme="majorBidi"/>
                </w:rPr>
                <m:t>0.01</m:t>
              </m:r>
              <m:r>
                <w:rPr>
                  <w:rFonts w:asciiTheme="majorBidi" w:eastAsia="MS Mincho" w:hAnsiTheme="majorBidi" w:cstheme="majorBidi"/>
                </w:rPr>
                <m:t>-</m:t>
              </m:r>
              <m:r>
                <w:rPr>
                  <w:rFonts w:ascii="Cambria Math" w:eastAsia="MS Mincho" w:hAnsiTheme="majorBidi" w:cstheme="majorBidi"/>
                </w:rPr>
                <m:t>0.04, 0.1</m:t>
              </m:r>
              <m:r>
                <w:rPr>
                  <w:rFonts w:asciiTheme="majorBidi" w:eastAsia="MS Mincho" w:hAnsiTheme="majorBidi" w:cstheme="majorBidi"/>
                </w:rPr>
                <m:t>-</m:t>
              </m:r>
              <m:r>
                <w:rPr>
                  <w:rFonts w:ascii="Cambria Math" w:eastAsia="MS Mincho" w:hAnsiTheme="majorBidi" w:cstheme="majorBidi"/>
                </w:rPr>
                <m:t>0.2</m:t>
              </m:r>
            </m:oMath>
            <w:r w:rsidRPr="00802378">
              <w:rPr>
                <w:rFonts w:asciiTheme="majorBidi" w:eastAsia="MS Mincho" w:hAnsiTheme="majorBidi" w:cstheme="majorBidi"/>
              </w:rPr>
              <w:t xml:space="preserve"> </w:t>
            </w:r>
          </w:p>
        </w:tc>
      </w:tr>
      <w:tr w:rsidR="008F42E5" w:rsidRPr="00802378" w14:paraId="6A4E7597" w14:textId="77777777" w:rsidTr="008151A0">
        <w:trPr>
          <w:cantSplit/>
        </w:trPr>
        <w:tc>
          <w:tcPr>
            <w:tcW w:w="5130" w:type="dxa"/>
            <w:gridSpan w:val="5"/>
            <w:shd w:val="clear" w:color="auto" w:fill="auto"/>
          </w:tcPr>
          <w:p w14:paraId="5C536D3C" w14:textId="77777777" w:rsidR="008F42E5" w:rsidRPr="00802378" w:rsidRDefault="008F42E5" w:rsidP="004A1690">
            <w:pPr>
              <w:spacing w:before="120"/>
              <w:jc w:val="both"/>
              <w:rPr>
                <w:rFonts w:asciiTheme="majorBidi" w:hAnsiTheme="majorBidi" w:cstheme="majorBidi"/>
                <w:i/>
              </w:rPr>
            </w:pPr>
            <w:r w:rsidRPr="00802378">
              <w:rPr>
                <w:rFonts w:asciiTheme="majorBidi" w:hAnsiTheme="majorBidi" w:cstheme="majorBidi"/>
                <w:i/>
              </w:rPr>
              <w:t>Specific parameters for membrane fences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7927390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186809D9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8F42E5" w:rsidRPr="00802378" w14:paraId="05990FC8" w14:textId="77777777" w:rsidTr="008151A0">
        <w:tc>
          <w:tcPr>
            <w:tcW w:w="270" w:type="dxa"/>
            <w:gridSpan w:val="2"/>
          </w:tcPr>
          <w:p w14:paraId="5F01FEB1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14:paraId="6A94A829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Spacing of square-grid fences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4042142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ajorBidi"/>
                  </w:rPr>
                  <m:t>a</m:t>
                </m:r>
              </m:oMath>
            </m:oMathPara>
          </w:p>
        </w:tc>
        <w:tc>
          <w:tcPr>
            <w:tcW w:w="4050" w:type="dxa"/>
            <w:gridSpan w:val="2"/>
            <w:shd w:val="clear" w:color="auto" w:fill="auto"/>
          </w:tcPr>
          <w:p w14:paraId="0D7CBE31" w14:textId="77777777" w:rsidR="008F42E5" w:rsidRPr="00802378" w:rsidRDefault="00D6327B" w:rsidP="004A1690">
            <w:pPr>
              <w:jc w:val="both"/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eastAsia="MS Mincho" w:hAnsiTheme="majorBidi" w:cstheme="majorBidi"/>
                </w:rPr>
                <m:t>50</m:t>
              </m:r>
              <m:r>
                <w:rPr>
                  <w:rFonts w:asciiTheme="majorBidi" w:eastAsia="MS Mincho" w:hAnsiTheme="majorBidi" w:cstheme="majorBidi"/>
                </w:rPr>
                <m:t>-</m:t>
              </m:r>
              <m:r>
                <w:rPr>
                  <w:rFonts w:ascii="Cambria Math" w:eastAsia="MS Mincho" w:hAnsiTheme="majorBidi" w:cstheme="majorBidi"/>
                </w:rPr>
                <m:t xml:space="preserve">500 </m:t>
              </m:r>
              <m:r>
                <w:rPr>
                  <w:rFonts w:ascii="Cambria Math" w:hAnsi="Cambria Math" w:cstheme="majorBidi"/>
                </w:rPr>
                <m:t>nm</m:t>
              </m:r>
            </m:oMath>
            <w:r w:rsidR="008F42E5" w:rsidRPr="00802378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F42E5" w:rsidRPr="00802378" w14:paraId="1205DD9C" w14:textId="77777777" w:rsidTr="008151A0">
        <w:tc>
          <w:tcPr>
            <w:tcW w:w="270" w:type="dxa"/>
            <w:gridSpan w:val="2"/>
          </w:tcPr>
          <w:p w14:paraId="5BFF250D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14:paraId="663D42CE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Hopping over probability for molecules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738C5EE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P</m:t>
                </m:r>
              </m:oMath>
            </m:oMathPara>
          </w:p>
        </w:tc>
        <w:tc>
          <w:tcPr>
            <w:tcW w:w="4050" w:type="dxa"/>
            <w:gridSpan w:val="2"/>
            <w:shd w:val="clear" w:color="auto" w:fill="auto"/>
          </w:tcPr>
          <w:p w14:paraId="380E2749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0.01</m:t>
                </m:r>
                <m:r>
                  <m:rPr>
                    <m:sty m:val="p"/>
                  </m:rPr>
                  <w:rPr>
                    <w:rFonts w:asciiTheme="minorBidi" w:hAnsiTheme="majorBidi" w:cstheme="majorBidi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0.1</m:t>
                </m:r>
              </m:oMath>
            </m:oMathPara>
          </w:p>
        </w:tc>
      </w:tr>
      <w:tr w:rsidR="008F42E5" w:rsidRPr="00802378" w14:paraId="013EF2D7" w14:textId="77777777" w:rsidTr="008151A0">
        <w:trPr>
          <w:trHeight w:val="117"/>
        </w:trPr>
        <w:tc>
          <w:tcPr>
            <w:tcW w:w="5130" w:type="dxa"/>
            <w:gridSpan w:val="5"/>
            <w:shd w:val="clear" w:color="auto" w:fill="auto"/>
          </w:tcPr>
          <w:p w14:paraId="06136518" w14:textId="77777777" w:rsidR="008F42E5" w:rsidRPr="00802378" w:rsidRDefault="008F42E5" w:rsidP="004A1690">
            <w:pPr>
              <w:spacing w:before="120"/>
              <w:jc w:val="both"/>
              <w:rPr>
                <w:rFonts w:asciiTheme="majorBidi" w:hAnsiTheme="majorBidi" w:cstheme="majorBidi"/>
                <w:i/>
              </w:rPr>
            </w:pPr>
            <w:r w:rsidRPr="00802378">
              <w:rPr>
                <w:rFonts w:asciiTheme="majorBidi" w:hAnsiTheme="majorBidi" w:cstheme="majorBidi"/>
                <w:i/>
              </w:rPr>
              <w:t>Simulation observables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119FEC5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4D4F961F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8F42E5" w:rsidRPr="00802378" w14:paraId="1192D92B" w14:textId="77777777" w:rsidTr="008151A0">
        <w:tc>
          <w:tcPr>
            <w:tcW w:w="236" w:type="dxa"/>
            <w:shd w:val="clear" w:color="auto" w:fill="auto"/>
          </w:tcPr>
          <w:p w14:paraId="66F6D1D5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25DCCD45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Partition of molecules into domains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2BB9CCC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eastAsia="MS Mincho" w:hAnsi="Cambria Math" w:cstheme="majorBidi"/>
                  </w:rPr>
                  <m:t>α</m:t>
                </m:r>
              </m:oMath>
            </m:oMathPara>
          </w:p>
        </w:tc>
        <w:tc>
          <w:tcPr>
            <w:tcW w:w="4050" w:type="dxa"/>
            <w:gridSpan w:val="2"/>
            <w:shd w:val="clear" w:color="auto" w:fill="auto"/>
          </w:tcPr>
          <w:p w14:paraId="127AF197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(molecules inside domains) / total molecules</w:t>
            </w:r>
          </w:p>
        </w:tc>
      </w:tr>
      <w:tr w:rsidR="008F42E5" w:rsidRPr="00802378" w14:paraId="690C7FE4" w14:textId="77777777" w:rsidTr="008151A0">
        <w:tc>
          <w:tcPr>
            <w:tcW w:w="236" w:type="dxa"/>
            <w:shd w:val="clear" w:color="auto" w:fill="auto"/>
          </w:tcPr>
          <w:p w14:paraId="49A1F9A6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65F32387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Confinement strength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BA6E429" w14:textId="77777777" w:rsidR="008F42E5" w:rsidRPr="00802378" w:rsidRDefault="00B406D4" w:rsidP="004A1690">
            <w:pPr>
              <w:jc w:val="both"/>
              <w:rPr>
                <w:rFonts w:asciiTheme="majorBidi" w:eastAsia="Calibri" w:hAnsiTheme="majorBidi"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conf</m:t>
                    </m:r>
                  </m:sub>
                </m:sSub>
              </m:oMath>
            </m:oMathPara>
          </w:p>
        </w:tc>
        <w:tc>
          <w:tcPr>
            <w:tcW w:w="4050" w:type="dxa"/>
            <w:gridSpan w:val="2"/>
            <w:shd w:val="clear" w:color="auto" w:fill="auto"/>
          </w:tcPr>
          <w:p w14:paraId="0C8BC4E0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8F42E5" w:rsidRPr="00802378" w14:paraId="5A663FC5" w14:textId="77777777" w:rsidTr="008151A0">
        <w:tc>
          <w:tcPr>
            <w:tcW w:w="236" w:type="dxa"/>
            <w:shd w:val="clear" w:color="auto" w:fill="auto"/>
          </w:tcPr>
          <w:p w14:paraId="1F9348B6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705943C2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Effective diffusion coefficient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B895AEB" w14:textId="77777777" w:rsidR="008F42E5" w:rsidRPr="00802378" w:rsidRDefault="00B406D4" w:rsidP="004A1690">
            <w:pPr>
              <w:jc w:val="both"/>
              <w:rPr>
                <w:rFonts w:asciiTheme="majorBidi" w:hAnsiTheme="majorBidi"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eff</m:t>
                    </m:r>
                  </m:sub>
                </m:sSub>
              </m:oMath>
            </m:oMathPara>
          </w:p>
        </w:tc>
        <w:tc>
          <w:tcPr>
            <w:tcW w:w="4050" w:type="dxa"/>
            <w:gridSpan w:val="2"/>
            <w:shd w:val="clear" w:color="auto" w:fill="auto"/>
          </w:tcPr>
          <w:p w14:paraId="4F71C382" w14:textId="77777777" w:rsidR="008F42E5" w:rsidRPr="00802378" w:rsidRDefault="00B406D4" w:rsidP="004A1690">
            <w:pPr>
              <w:jc w:val="both"/>
              <w:rPr>
                <w:rFonts w:asciiTheme="majorBidi" w:hAnsiTheme="majorBidi" w:cstheme="majorBidi"/>
              </w:rPr>
            </w:pPr>
            <m:oMath>
              <m:f>
                <m:fPr>
                  <m:type m:val="lin"/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</w:rPr>
                    <m:t xml:space="preserve">1 </m:t>
                  </m:r>
                </m:num>
                <m:den>
                  <m:r>
                    <w:rPr>
                      <w:rFonts w:ascii="Cambria Math" w:hAnsiTheme="majorBidi" w:cstheme="majorBidi"/>
                    </w:rPr>
                    <m:t>(4</m:t>
                  </m:r>
                  <m:r>
                    <w:rPr>
                      <w:rFonts w:asciiTheme="majorBidi" w:hAnsi="Cambria Math" w:cstheme="majorBidi"/>
                    </w:rPr>
                    <m:t>*</m:t>
                  </m:r>
                  <m:r>
                    <w:rPr>
                      <w:rFonts w:ascii="Cambria Math" w:hAnsiTheme="majorBidi" w:cstheme="majorBidi"/>
                    </w:rPr>
                    <m:t>(</m:t>
                  </m:r>
                  <m:r>
                    <w:rPr>
                      <w:rFonts w:ascii="Cambria Math" w:hAnsi="Cambria Math" w:cstheme="majorBidi"/>
                    </w:rPr>
                    <m:t>slope</m:t>
                  </m:r>
                  <m:r>
                    <w:rPr>
                      <w:rFonts w:ascii="Cambria Math" w:hAnsiTheme="majorBidi" w:cstheme="majorBidi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</w:rPr>
                    <m:t>of</m:t>
                  </m:r>
                  <m:r>
                    <w:rPr>
                      <w:rFonts w:ascii="Cambria Math" w:hAnsiTheme="majorBidi" w:cstheme="majorBidi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sub>
                  </m:sSub>
                  <m:r>
                    <w:rPr>
                      <w:rFonts w:ascii="Cambria Math" w:hAnsiTheme="majorBidi" w:cstheme="majorBidi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</w:rPr>
                    <m:t>versus</m:t>
                  </m:r>
                  <m:r>
                    <w:rPr>
                      <w:rFonts w:ascii="Cambria Math" w:hAnsiTheme="majorBidi" w:cstheme="majorBidi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plot</m:t>
                  </m:r>
                  <m:r>
                    <w:rPr>
                      <w:rFonts w:ascii="Cambria Math" w:hAnsiTheme="majorBidi" w:cstheme="majorBidi"/>
                    </w:rPr>
                    <m:t>))</m:t>
                  </m:r>
                </m:den>
              </m:f>
            </m:oMath>
            <w:r w:rsidR="008F42E5" w:rsidRPr="00802378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F42E5" w:rsidRPr="00802378" w14:paraId="3BEBF94A" w14:textId="77777777" w:rsidTr="008151A0">
        <w:tc>
          <w:tcPr>
            <w:tcW w:w="236" w:type="dxa"/>
            <w:shd w:val="clear" w:color="auto" w:fill="auto"/>
          </w:tcPr>
          <w:p w14:paraId="1FA957D6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94" w:type="dxa"/>
            <w:gridSpan w:val="4"/>
            <w:shd w:val="clear" w:color="auto" w:fill="auto"/>
          </w:tcPr>
          <w:p w14:paraId="3E9B7C77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Time-axis intercept of the FCS diffusion law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E02C542" w14:textId="77777777" w:rsidR="008F42E5" w:rsidRPr="00802378" w:rsidRDefault="00B406D4" w:rsidP="004A1690">
            <w:pPr>
              <w:jc w:val="both"/>
              <w:rPr>
                <w:rFonts w:asciiTheme="majorBidi" w:hAnsiTheme="majorBidi"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t</m:t>
                    </m:r>
                  </m:e>
                  <m:sub>
                    <m:r>
                      <w:rPr>
                        <w:rFonts w:ascii="Cambria Math" w:hAnsiTheme="majorBidi" w:cstheme="majorBidi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050" w:type="dxa"/>
            <w:gridSpan w:val="2"/>
            <w:shd w:val="clear" w:color="auto" w:fill="auto"/>
          </w:tcPr>
          <w:p w14:paraId="7B56619F" w14:textId="77777777" w:rsidR="008F42E5" w:rsidRPr="00802378" w:rsidRDefault="008F42E5" w:rsidP="004A1690">
            <w:pPr>
              <w:jc w:val="both"/>
              <w:rPr>
                <w:rFonts w:asciiTheme="majorBidi" w:hAnsiTheme="majorBidi" w:cstheme="majorBidi"/>
              </w:rPr>
            </w:pPr>
            <w:r w:rsidRPr="00802378">
              <w:rPr>
                <w:rFonts w:asciiTheme="majorBidi" w:hAnsiTheme="majorBidi" w:cstheme="majorBidi"/>
              </w:rPr>
              <w:t>y-intercept</w:t>
            </w:r>
          </w:p>
        </w:tc>
      </w:tr>
    </w:tbl>
    <w:p w14:paraId="1E0400F4" w14:textId="77777777" w:rsidR="001F6BC4" w:rsidRPr="00802378" w:rsidRDefault="001F6BC4" w:rsidP="004A1690">
      <w:pPr>
        <w:pStyle w:val="Heading1"/>
        <w:jc w:val="both"/>
        <w:rPr>
          <w:rFonts w:asciiTheme="majorBidi" w:hAnsiTheme="majorBidi" w:cstheme="majorBidi"/>
          <w:sz w:val="24"/>
          <w:szCs w:val="24"/>
          <w:highlight w:val="cyan"/>
        </w:rPr>
      </w:pPr>
    </w:p>
    <w:p w14:paraId="1AA54E9C" w14:textId="77777777" w:rsidR="00AE57A7" w:rsidRPr="00802378" w:rsidRDefault="00AE57A7" w:rsidP="00802378">
      <w:pPr>
        <w:spacing w:line="480" w:lineRule="auto"/>
        <w:jc w:val="both"/>
        <w:rPr>
          <w:rFonts w:asciiTheme="majorBidi" w:hAnsiTheme="majorBidi" w:cstheme="majorBidi"/>
        </w:rPr>
      </w:pPr>
    </w:p>
    <w:sectPr w:rsidR="00AE57A7" w:rsidRPr="00802378" w:rsidSect="00543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DA14E" w14:textId="77777777" w:rsidR="006C4F09" w:rsidRDefault="006C4F09" w:rsidP="00AE57A7">
      <w:r>
        <w:separator/>
      </w:r>
    </w:p>
  </w:endnote>
  <w:endnote w:type="continuationSeparator" w:id="0">
    <w:p w14:paraId="2FD88AEE" w14:textId="77777777" w:rsidR="006C4F09" w:rsidRDefault="006C4F09" w:rsidP="00AE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TC Officina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C417F" w14:textId="77777777" w:rsidR="006C4F09" w:rsidRDefault="006C4F09" w:rsidP="00AE57A7">
      <w:r>
        <w:separator/>
      </w:r>
    </w:p>
  </w:footnote>
  <w:footnote w:type="continuationSeparator" w:id="0">
    <w:p w14:paraId="4E9DBEC5" w14:textId="77777777" w:rsidR="006C4F09" w:rsidRDefault="006C4F09" w:rsidP="00AE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661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9E7378"/>
    <w:multiLevelType w:val="hybridMultilevel"/>
    <w:tmpl w:val="73B6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A3773"/>
    <w:multiLevelType w:val="hybridMultilevel"/>
    <w:tmpl w:val="C12E82FC"/>
    <w:lvl w:ilvl="0" w:tplc="7FFC4A2A">
      <w:start w:val="1"/>
      <w:numFmt w:val="decimal"/>
      <w:lvlText w:val="%1."/>
      <w:lvlJc w:val="left"/>
      <w:pPr>
        <w:ind w:left="990" w:hanging="630"/>
      </w:pPr>
      <w:rPr>
        <w:rFonts w:ascii="Arial" w:hAnsi="Arial" w:cs="Arial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92"/>
    <w:rsid w:val="00024570"/>
    <w:rsid w:val="00030836"/>
    <w:rsid w:val="00031DA3"/>
    <w:rsid w:val="0004073F"/>
    <w:rsid w:val="00042B3E"/>
    <w:rsid w:val="00053436"/>
    <w:rsid w:val="00053C61"/>
    <w:rsid w:val="00063301"/>
    <w:rsid w:val="00074BCD"/>
    <w:rsid w:val="00076DFE"/>
    <w:rsid w:val="00082280"/>
    <w:rsid w:val="00086D29"/>
    <w:rsid w:val="00087193"/>
    <w:rsid w:val="000918FF"/>
    <w:rsid w:val="00094956"/>
    <w:rsid w:val="00096933"/>
    <w:rsid w:val="000A48AF"/>
    <w:rsid w:val="000B0D7A"/>
    <w:rsid w:val="000B47B3"/>
    <w:rsid w:val="000B5E54"/>
    <w:rsid w:val="000B6BC2"/>
    <w:rsid w:val="000C39C6"/>
    <w:rsid w:val="000C6E22"/>
    <w:rsid w:val="000D6951"/>
    <w:rsid w:val="000F0EE4"/>
    <w:rsid w:val="000F2155"/>
    <w:rsid w:val="001217E4"/>
    <w:rsid w:val="00121850"/>
    <w:rsid w:val="00122089"/>
    <w:rsid w:val="00122E15"/>
    <w:rsid w:val="00124628"/>
    <w:rsid w:val="00127FAC"/>
    <w:rsid w:val="0013021F"/>
    <w:rsid w:val="00130CDF"/>
    <w:rsid w:val="001511A3"/>
    <w:rsid w:val="0015162B"/>
    <w:rsid w:val="00153643"/>
    <w:rsid w:val="00161357"/>
    <w:rsid w:val="00167F14"/>
    <w:rsid w:val="001844B1"/>
    <w:rsid w:val="00192389"/>
    <w:rsid w:val="001930D6"/>
    <w:rsid w:val="001A3C5A"/>
    <w:rsid w:val="001A5CAA"/>
    <w:rsid w:val="001A6B70"/>
    <w:rsid w:val="001A7A7C"/>
    <w:rsid w:val="001B7B1C"/>
    <w:rsid w:val="001C69D7"/>
    <w:rsid w:val="001F1E29"/>
    <w:rsid w:val="001F6BC4"/>
    <w:rsid w:val="00216B56"/>
    <w:rsid w:val="00220E73"/>
    <w:rsid w:val="00226511"/>
    <w:rsid w:val="00227E7C"/>
    <w:rsid w:val="002312A4"/>
    <w:rsid w:val="002318DC"/>
    <w:rsid w:val="00235DFC"/>
    <w:rsid w:val="00237EE7"/>
    <w:rsid w:val="00247C23"/>
    <w:rsid w:val="00255BD8"/>
    <w:rsid w:val="00267A91"/>
    <w:rsid w:val="00271011"/>
    <w:rsid w:val="002776AD"/>
    <w:rsid w:val="002820A2"/>
    <w:rsid w:val="00290D58"/>
    <w:rsid w:val="00291F2B"/>
    <w:rsid w:val="00293293"/>
    <w:rsid w:val="002A4506"/>
    <w:rsid w:val="002A78E9"/>
    <w:rsid w:val="002B2EE0"/>
    <w:rsid w:val="002B7014"/>
    <w:rsid w:val="002E46AA"/>
    <w:rsid w:val="002F7243"/>
    <w:rsid w:val="003017A8"/>
    <w:rsid w:val="00321347"/>
    <w:rsid w:val="003249A8"/>
    <w:rsid w:val="003271AD"/>
    <w:rsid w:val="003449E4"/>
    <w:rsid w:val="00344A26"/>
    <w:rsid w:val="00347F57"/>
    <w:rsid w:val="00353AAC"/>
    <w:rsid w:val="00354869"/>
    <w:rsid w:val="00373885"/>
    <w:rsid w:val="0037653C"/>
    <w:rsid w:val="0039102D"/>
    <w:rsid w:val="0039360C"/>
    <w:rsid w:val="003949D7"/>
    <w:rsid w:val="00397953"/>
    <w:rsid w:val="003A02CB"/>
    <w:rsid w:val="003B4CD2"/>
    <w:rsid w:val="003B635A"/>
    <w:rsid w:val="003D2AC9"/>
    <w:rsid w:val="003D7E0E"/>
    <w:rsid w:val="003E58D1"/>
    <w:rsid w:val="003F0A96"/>
    <w:rsid w:val="003F0B44"/>
    <w:rsid w:val="004118FB"/>
    <w:rsid w:val="00422BC6"/>
    <w:rsid w:val="00424DA5"/>
    <w:rsid w:val="00434225"/>
    <w:rsid w:val="00437C3D"/>
    <w:rsid w:val="00437F80"/>
    <w:rsid w:val="00444CC8"/>
    <w:rsid w:val="00477DED"/>
    <w:rsid w:val="00483B79"/>
    <w:rsid w:val="00484A58"/>
    <w:rsid w:val="00484B47"/>
    <w:rsid w:val="00495EF0"/>
    <w:rsid w:val="004A02D4"/>
    <w:rsid w:val="004A1690"/>
    <w:rsid w:val="004A1B8E"/>
    <w:rsid w:val="004B2551"/>
    <w:rsid w:val="004E0374"/>
    <w:rsid w:val="004E18D1"/>
    <w:rsid w:val="004E2249"/>
    <w:rsid w:val="00500E7F"/>
    <w:rsid w:val="005058AA"/>
    <w:rsid w:val="00513B37"/>
    <w:rsid w:val="00527803"/>
    <w:rsid w:val="00535349"/>
    <w:rsid w:val="00537337"/>
    <w:rsid w:val="00537FC9"/>
    <w:rsid w:val="00537FD6"/>
    <w:rsid w:val="005431D4"/>
    <w:rsid w:val="00546EED"/>
    <w:rsid w:val="00554592"/>
    <w:rsid w:val="00570946"/>
    <w:rsid w:val="00571E86"/>
    <w:rsid w:val="005813A2"/>
    <w:rsid w:val="005A7322"/>
    <w:rsid w:val="005B0958"/>
    <w:rsid w:val="005B135C"/>
    <w:rsid w:val="005B218C"/>
    <w:rsid w:val="005B4DEA"/>
    <w:rsid w:val="005B596B"/>
    <w:rsid w:val="005C6F7C"/>
    <w:rsid w:val="005F6A91"/>
    <w:rsid w:val="00606607"/>
    <w:rsid w:val="0061172D"/>
    <w:rsid w:val="00620669"/>
    <w:rsid w:val="00621E5A"/>
    <w:rsid w:val="00630FF8"/>
    <w:rsid w:val="00647CAD"/>
    <w:rsid w:val="006505BA"/>
    <w:rsid w:val="006543B0"/>
    <w:rsid w:val="006650E2"/>
    <w:rsid w:val="006820FC"/>
    <w:rsid w:val="00694053"/>
    <w:rsid w:val="006B2078"/>
    <w:rsid w:val="006B2CFF"/>
    <w:rsid w:val="006B685C"/>
    <w:rsid w:val="006C4F09"/>
    <w:rsid w:val="006C6284"/>
    <w:rsid w:val="006C6312"/>
    <w:rsid w:val="006C73DD"/>
    <w:rsid w:val="006D4823"/>
    <w:rsid w:val="006F1594"/>
    <w:rsid w:val="006F26CC"/>
    <w:rsid w:val="006F282A"/>
    <w:rsid w:val="0071457E"/>
    <w:rsid w:val="00723606"/>
    <w:rsid w:val="00731D43"/>
    <w:rsid w:val="007443A5"/>
    <w:rsid w:val="0074582A"/>
    <w:rsid w:val="0074765C"/>
    <w:rsid w:val="00750492"/>
    <w:rsid w:val="0075666B"/>
    <w:rsid w:val="00764492"/>
    <w:rsid w:val="00773D53"/>
    <w:rsid w:val="007748C5"/>
    <w:rsid w:val="0078064E"/>
    <w:rsid w:val="007822C6"/>
    <w:rsid w:val="00796D8A"/>
    <w:rsid w:val="007A593B"/>
    <w:rsid w:val="007B620E"/>
    <w:rsid w:val="007C1453"/>
    <w:rsid w:val="007D00D2"/>
    <w:rsid w:val="007D616E"/>
    <w:rsid w:val="007D71FB"/>
    <w:rsid w:val="007E007F"/>
    <w:rsid w:val="007E6544"/>
    <w:rsid w:val="007F1F95"/>
    <w:rsid w:val="00802378"/>
    <w:rsid w:val="00806588"/>
    <w:rsid w:val="0081231A"/>
    <w:rsid w:val="00817DF7"/>
    <w:rsid w:val="008214C5"/>
    <w:rsid w:val="008327A3"/>
    <w:rsid w:val="00845963"/>
    <w:rsid w:val="008464C9"/>
    <w:rsid w:val="00850AC4"/>
    <w:rsid w:val="0085114C"/>
    <w:rsid w:val="0087327C"/>
    <w:rsid w:val="00883605"/>
    <w:rsid w:val="00886B78"/>
    <w:rsid w:val="00891EBA"/>
    <w:rsid w:val="00892FEA"/>
    <w:rsid w:val="00893D5C"/>
    <w:rsid w:val="008C56DB"/>
    <w:rsid w:val="008D47AA"/>
    <w:rsid w:val="008E2580"/>
    <w:rsid w:val="008F42E5"/>
    <w:rsid w:val="008F4D4A"/>
    <w:rsid w:val="008F6163"/>
    <w:rsid w:val="0090361C"/>
    <w:rsid w:val="00903BD4"/>
    <w:rsid w:val="0090508D"/>
    <w:rsid w:val="00913569"/>
    <w:rsid w:val="0091602F"/>
    <w:rsid w:val="00916492"/>
    <w:rsid w:val="00917096"/>
    <w:rsid w:val="00917FB5"/>
    <w:rsid w:val="0092563D"/>
    <w:rsid w:val="00925E8F"/>
    <w:rsid w:val="00931F3C"/>
    <w:rsid w:val="00932BE3"/>
    <w:rsid w:val="009334A3"/>
    <w:rsid w:val="009354D0"/>
    <w:rsid w:val="00942220"/>
    <w:rsid w:val="0094309E"/>
    <w:rsid w:val="00943F2E"/>
    <w:rsid w:val="00945BC0"/>
    <w:rsid w:val="00947E91"/>
    <w:rsid w:val="00951645"/>
    <w:rsid w:val="00951ADF"/>
    <w:rsid w:val="00964447"/>
    <w:rsid w:val="009671F9"/>
    <w:rsid w:val="00976CEE"/>
    <w:rsid w:val="00984011"/>
    <w:rsid w:val="00992CB0"/>
    <w:rsid w:val="00995DFC"/>
    <w:rsid w:val="009A14E5"/>
    <w:rsid w:val="009C01BB"/>
    <w:rsid w:val="009C78EA"/>
    <w:rsid w:val="009D3F62"/>
    <w:rsid w:val="009E541F"/>
    <w:rsid w:val="009F1B91"/>
    <w:rsid w:val="009F5D72"/>
    <w:rsid w:val="00A05D7E"/>
    <w:rsid w:val="00A06B0A"/>
    <w:rsid w:val="00A12885"/>
    <w:rsid w:val="00A15105"/>
    <w:rsid w:val="00A224C5"/>
    <w:rsid w:val="00A23728"/>
    <w:rsid w:val="00A26E45"/>
    <w:rsid w:val="00A3151F"/>
    <w:rsid w:val="00A42D04"/>
    <w:rsid w:val="00A654A8"/>
    <w:rsid w:val="00A80562"/>
    <w:rsid w:val="00A84E85"/>
    <w:rsid w:val="00AB5B6E"/>
    <w:rsid w:val="00AD28D7"/>
    <w:rsid w:val="00AD68A9"/>
    <w:rsid w:val="00AD6EDF"/>
    <w:rsid w:val="00AE179C"/>
    <w:rsid w:val="00AE57A7"/>
    <w:rsid w:val="00AF5845"/>
    <w:rsid w:val="00B17692"/>
    <w:rsid w:val="00B22F57"/>
    <w:rsid w:val="00B30FD8"/>
    <w:rsid w:val="00B406D4"/>
    <w:rsid w:val="00B406F2"/>
    <w:rsid w:val="00B4195A"/>
    <w:rsid w:val="00B42D9C"/>
    <w:rsid w:val="00B44E74"/>
    <w:rsid w:val="00B52192"/>
    <w:rsid w:val="00B570F8"/>
    <w:rsid w:val="00B62615"/>
    <w:rsid w:val="00B6323E"/>
    <w:rsid w:val="00B64399"/>
    <w:rsid w:val="00B73465"/>
    <w:rsid w:val="00B77FBF"/>
    <w:rsid w:val="00B96D4C"/>
    <w:rsid w:val="00BA2816"/>
    <w:rsid w:val="00BA2854"/>
    <w:rsid w:val="00BA47EB"/>
    <w:rsid w:val="00BB60B2"/>
    <w:rsid w:val="00BC6407"/>
    <w:rsid w:val="00BD0A5B"/>
    <w:rsid w:val="00BD7B3B"/>
    <w:rsid w:val="00BE0C27"/>
    <w:rsid w:val="00BF264E"/>
    <w:rsid w:val="00C1067F"/>
    <w:rsid w:val="00C11F03"/>
    <w:rsid w:val="00C143C6"/>
    <w:rsid w:val="00C16718"/>
    <w:rsid w:val="00C1694E"/>
    <w:rsid w:val="00C35213"/>
    <w:rsid w:val="00C427CE"/>
    <w:rsid w:val="00C4582C"/>
    <w:rsid w:val="00C74184"/>
    <w:rsid w:val="00C7650D"/>
    <w:rsid w:val="00C767E2"/>
    <w:rsid w:val="00C806FC"/>
    <w:rsid w:val="00C97DFE"/>
    <w:rsid w:val="00CA2E2E"/>
    <w:rsid w:val="00CC423B"/>
    <w:rsid w:val="00CD1E36"/>
    <w:rsid w:val="00CE072D"/>
    <w:rsid w:val="00CE7F8D"/>
    <w:rsid w:val="00CF1CCE"/>
    <w:rsid w:val="00D044F1"/>
    <w:rsid w:val="00D150A8"/>
    <w:rsid w:val="00D34396"/>
    <w:rsid w:val="00D5237B"/>
    <w:rsid w:val="00D52A3E"/>
    <w:rsid w:val="00D55531"/>
    <w:rsid w:val="00D62E74"/>
    <w:rsid w:val="00D6327B"/>
    <w:rsid w:val="00D70B3E"/>
    <w:rsid w:val="00D812AC"/>
    <w:rsid w:val="00D87898"/>
    <w:rsid w:val="00D9028B"/>
    <w:rsid w:val="00DA1DF2"/>
    <w:rsid w:val="00DB00B4"/>
    <w:rsid w:val="00DB1ABA"/>
    <w:rsid w:val="00DB2517"/>
    <w:rsid w:val="00DB36F5"/>
    <w:rsid w:val="00DB3778"/>
    <w:rsid w:val="00DB6A06"/>
    <w:rsid w:val="00DC3A57"/>
    <w:rsid w:val="00DC5D68"/>
    <w:rsid w:val="00DE4064"/>
    <w:rsid w:val="00DF1BA4"/>
    <w:rsid w:val="00E05417"/>
    <w:rsid w:val="00E06254"/>
    <w:rsid w:val="00E2786A"/>
    <w:rsid w:val="00E31DE5"/>
    <w:rsid w:val="00E36F71"/>
    <w:rsid w:val="00E40626"/>
    <w:rsid w:val="00E41EF4"/>
    <w:rsid w:val="00E420DC"/>
    <w:rsid w:val="00E4635A"/>
    <w:rsid w:val="00E549E0"/>
    <w:rsid w:val="00E61194"/>
    <w:rsid w:val="00E76076"/>
    <w:rsid w:val="00E7723D"/>
    <w:rsid w:val="00E812DF"/>
    <w:rsid w:val="00E813A0"/>
    <w:rsid w:val="00E9373F"/>
    <w:rsid w:val="00EB5458"/>
    <w:rsid w:val="00EB5988"/>
    <w:rsid w:val="00EB5F9B"/>
    <w:rsid w:val="00EC7E62"/>
    <w:rsid w:val="00ED4074"/>
    <w:rsid w:val="00EE094F"/>
    <w:rsid w:val="00EE13BC"/>
    <w:rsid w:val="00F02734"/>
    <w:rsid w:val="00F1583B"/>
    <w:rsid w:val="00F22B64"/>
    <w:rsid w:val="00F27F1B"/>
    <w:rsid w:val="00F37DC8"/>
    <w:rsid w:val="00F5766E"/>
    <w:rsid w:val="00F60AA5"/>
    <w:rsid w:val="00F63A05"/>
    <w:rsid w:val="00F74E1D"/>
    <w:rsid w:val="00F751AE"/>
    <w:rsid w:val="00F9010B"/>
    <w:rsid w:val="00F9248D"/>
    <w:rsid w:val="00F9304A"/>
    <w:rsid w:val="00F944CB"/>
    <w:rsid w:val="00F96B9C"/>
    <w:rsid w:val="00FA5F37"/>
    <w:rsid w:val="00FA6134"/>
    <w:rsid w:val="00FB69A0"/>
    <w:rsid w:val="00FB76AD"/>
    <w:rsid w:val="00FC13EE"/>
    <w:rsid w:val="00FC78F7"/>
    <w:rsid w:val="00FD5541"/>
    <w:rsid w:val="00FE5EF0"/>
    <w:rsid w:val="00FE65D0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5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504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49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74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8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48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8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48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57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57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57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57A7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63A05"/>
    <w:pPr>
      <w:ind w:left="720"/>
      <w:contextualSpacing/>
    </w:pPr>
  </w:style>
  <w:style w:type="table" w:styleId="TableGrid">
    <w:name w:val="Table Grid"/>
    <w:basedOn w:val="TableNormal"/>
    <w:uiPriority w:val="59"/>
    <w:rsid w:val="006B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1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26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074"/>
    <w:pPr>
      <w:suppressAutoHyphens/>
      <w:ind w:left="720"/>
      <w:contextualSpacing/>
    </w:pPr>
    <w:rPr>
      <w:rFonts w:ascii="ITC Officina Sans Book" w:eastAsia="Calibri" w:hAnsi="ITC Officina Sans Book" w:cs="Mangal"/>
      <w:color w:val="000000"/>
      <w:kern w:val="1"/>
      <w:szCs w:val="21"/>
      <w:lang w:eastAsia="hi-IN" w:bidi="hi-IN"/>
    </w:rPr>
  </w:style>
  <w:style w:type="paragraph" w:customStyle="1" w:styleId="Default">
    <w:name w:val="Default"/>
    <w:rsid w:val="00ED40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6254"/>
    <w:rPr>
      <w:color w:val="800080" w:themeColor="followedHyperlink"/>
      <w:u w:val="single"/>
    </w:rPr>
  </w:style>
  <w:style w:type="character" w:customStyle="1" w:styleId="fn">
    <w:name w:val="fn"/>
    <w:basedOn w:val="DefaultParagraphFont"/>
    <w:rsid w:val="00290D58"/>
  </w:style>
  <w:style w:type="character" w:customStyle="1" w:styleId="source-title">
    <w:name w:val="source-title"/>
    <w:basedOn w:val="DefaultParagraphFont"/>
    <w:rsid w:val="00290D58"/>
  </w:style>
  <w:style w:type="character" w:customStyle="1" w:styleId="year">
    <w:name w:val="year"/>
    <w:basedOn w:val="DefaultParagraphFont"/>
    <w:rsid w:val="00290D58"/>
  </w:style>
  <w:style w:type="character" w:customStyle="1" w:styleId="Heading1Char">
    <w:name w:val="Heading 1 Char"/>
    <w:basedOn w:val="DefaultParagraphFont"/>
    <w:link w:val="Heading1"/>
    <w:uiPriority w:val="9"/>
    <w:rsid w:val="00290D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D70B3E"/>
  </w:style>
  <w:style w:type="paragraph" w:styleId="NormalWeb">
    <w:name w:val="Normal (Web)"/>
    <w:basedOn w:val="Normal"/>
    <w:uiPriority w:val="99"/>
    <w:semiHidden/>
    <w:unhideWhenUsed/>
    <w:rsid w:val="00513B3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sy">
    <w:name w:val="sy"/>
    <w:basedOn w:val="Normal"/>
    <w:rsid w:val="003D2AC9"/>
    <w:pPr>
      <w:spacing w:line="360" w:lineRule="auto"/>
      <w:jc w:val="both"/>
    </w:pPr>
  </w:style>
  <w:style w:type="character" w:customStyle="1" w:styleId="il">
    <w:name w:val="il"/>
    <w:basedOn w:val="DefaultParagraphFont"/>
    <w:rsid w:val="00802378"/>
  </w:style>
  <w:style w:type="paragraph" w:styleId="Revision">
    <w:name w:val="Revision"/>
    <w:hidden/>
    <w:uiPriority w:val="99"/>
    <w:semiHidden/>
    <w:rsid w:val="00EC7E6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504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49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74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8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48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8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48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57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57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57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57A7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63A05"/>
    <w:pPr>
      <w:ind w:left="720"/>
      <w:contextualSpacing/>
    </w:pPr>
  </w:style>
  <w:style w:type="table" w:styleId="TableGrid">
    <w:name w:val="Table Grid"/>
    <w:basedOn w:val="TableNormal"/>
    <w:uiPriority w:val="59"/>
    <w:rsid w:val="006B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1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26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074"/>
    <w:pPr>
      <w:suppressAutoHyphens/>
      <w:ind w:left="720"/>
      <w:contextualSpacing/>
    </w:pPr>
    <w:rPr>
      <w:rFonts w:ascii="ITC Officina Sans Book" w:eastAsia="Calibri" w:hAnsi="ITC Officina Sans Book" w:cs="Mangal"/>
      <w:color w:val="000000"/>
      <w:kern w:val="1"/>
      <w:szCs w:val="21"/>
      <w:lang w:eastAsia="hi-IN" w:bidi="hi-IN"/>
    </w:rPr>
  </w:style>
  <w:style w:type="paragraph" w:customStyle="1" w:styleId="Default">
    <w:name w:val="Default"/>
    <w:rsid w:val="00ED40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6254"/>
    <w:rPr>
      <w:color w:val="800080" w:themeColor="followedHyperlink"/>
      <w:u w:val="single"/>
    </w:rPr>
  </w:style>
  <w:style w:type="character" w:customStyle="1" w:styleId="fn">
    <w:name w:val="fn"/>
    <w:basedOn w:val="DefaultParagraphFont"/>
    <w:rsid w:val="00290D58"/>
  </w:style>
  <w:style w:type="character" w:customStyle="1" w:styleId="source-title">
    <w:name w:val="source-title"/>
    <w:basedOn w:val="DefaultParagraphFont"/>
    <w:rsid w:val="00290D58"/>
  </w:style>
  <w:style w:type="character" w:customStyle="1" w:styleId="year">
    <w:name w:val="year"/>
    <w:basedOn w:val="DefaultParagraphFont"/>
    <w:rsid w:val="00290D58"/>
  </w:style>
  <w:style w:type="character" w:customStyle="1" w:styleId="Heading1Char">
    <w:name w:val="Heading 1 Char"/>
    <w:basedOn w:val="DefaultParagraphFont"/>
    <w:link w:val="Heading1"/>
    <w:uiPriority w:val="9"/>
    <w:rsid w:val="00290D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D70B3E"/>
  </w:style>
  <w:style w:type="paragraph" w:styleId="NormalWeb">
    <w:name w:val="Normal (Web)"/>
    <w:basedOn w:val="Normal"/>
    <w:uiPriority w:val="99"/>
    <w:semiHidden/>
    <w:unhideWhenUsed/>
    <w:rsid w:val="00513B3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sy">
    <w:name w:val="sy"/>
    <w:basedOn w:val="Normal"/>
    <w:rsid w:val="003D2AC9"/>
    <w:pPr>
      <w:spacing w:line="360" w:lineRule="auto"/>
      <w:jc w:val="both"/>
    </w:pPr>
  </w:style>
  <w:style w:type="character" w:customStyle="1" w:styleId="il">
    <w:name w:val="il"/>
    <w:basedOn w:val="DefaultParagraphFont"/>
    <w:rsid w:val="00802378"/>
  </w:style>
  <w:style w:type="paragraph" w:styleId="Revision">
    <w:name w:val="Revision"/>
    <w:hidden/>
    <w:uiPriority w:val="99"/>
    <w:semiHidden/>
    <w:rsid w:val="00EC7E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3877E-50C3-DE47-97B5-4BAAA385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/>
      <vt:lpstr/>
      <vt:lpstr>EXPERIMENTAL METHODS</vt:lpstr>
      <vt:lpstr>Cell Culture.</vt:lpstr>
      <vt:lpstr>PtK2 (Male Rat Kangaroo Kidney Epithelial Cells) cells were cultured in Eagle’s</vt:lpstr>
      <vt:lpstr>Simvastatin (Sigma Aldrich) treatments were performed at 100nM concentration in </vt:lpstr>
      <vt:lpstr>Supported Lipid Bilayer. </vt:lpstr>
      <vt:lpstr>1-palmitoyl-2-oleoyl-sn-glycero-3-phosphocholine (POPC), and 1,2-dioleoyl-sn-gly</vt:lpstr>
      <vt:lpstr/>
      <vt:lpstr>BimFCS TECHNIQUE</vt:lpstr>
      <vt:lpstr>TIR FieldAngle Adjustment. </vt:lpstr>
      <vt:lpstr>Two different size fluorescent polystyrene beads (1 and 0.1 (M) in salt solution</vt:lpstr>
      <vt:lpstr>Temporal Requirements for FCS Data Acquisition.</vt:lpstr>
      <vt:lpstr>To obtain reliable diffusion measurement from FCS data, the data has to be reco</vt:lpstr>
      <vt:lpstr>For each static measurement, 90s of data were recorded, because determining the </vt:lpstr>
      <vt:lpstr>The temporal resolution of an EMCDD is sufficient because the typical diffusion </vt:lpstr>
      <vt:lpstr/>
      <vt:lpstr>Bleach Correction. </vt:lpstr>
      <vt:lpstr>Once the raw bimFCS data from each pixel of camera, a stack of tiff images, was </vt:lpstr>
      <vt:lpstr>Bleaching in TIRF FCS may happen in two areas: First the GFP could bleach while </vt:lpstr>
      <vt:lpstr>The transit times for small pixel bins are 1 – 20 milliseconds, but reaches hund</vt:lpstr>
      <vt:lpstr>In our TIRF-FCS a second form of bleaching occurs outside the ROI used for the F</vt:lpstr>
      <vt:lpstr>/</vt:lpstr>
      <vt:lpstr/>
      <vt:lpstr/>
      <vt:lpstr/>
      <vt:lpstr/>
      <vt:lpstr>/</vt:lpstr>
      <vt:lpstr/>
      <vt:lpstr/>
      <vt:lpstr/>
      <vt:lpstr/>
      <vt:lpstr>Figure S3 | Effect of bleach Correction. An example of the effects of bleach cor</vt:lpstr>
      <vt:lpstr>/</vt:lpstr>
      <vt:lpstr>/</vt:lpstr>
      <vt:lpstr>Figure S8 | Dimerization of Liss-Rhod-PE with monoclonal αRhodamine antibody. Ch</vt:lpstr>
      <vt:lpstr>Figure S9 | Dynamic changes of the eGFP-GPI interaction with nanodomains in sing</vt:lpstr>
      <vt:lpstr/>
    </vt:vector>
  </TitlesOfParts>
  <Company>University at Buffalo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Heng</dc:creator>
  <cp:lastModifiedBy>Arnd Pralle</cp:lastModifiedBy>
  <cp:revision>2</cp:revision>
  <dcterms:created xsi:type="dcterms:W3CDTF">2015-02-24T16:50:00Z</dcterms:created>
  <dcterms:modified xsi:type="dcterms:W3CDTF">2015-02-24T16:50:00Z</dcterms:modified>
</cp:coreProperties>
</file>