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8" w:type="dxa"/>
        <w:tblLayout w:type="fixed"/>
        <w:tblLook w:val="00A0" w:firstRow="1" w:lastRow="0" w:firstColumn="1" w:lastColumn="0" w:noHBand="0" w:noVBand="0"/>
      </w:tblPr>
      <w:tblGrid>
        <w:gridCol w:w="3438"/>
        <w:gridCol w:w="1080"/>
        <w:gridCol w:w="1620"/>
        <w:gridCol w:w="990"/>
        <w:gridCol w:w="1170"/>
        <w:gridCol w:w="1170"/>
      </w:tblGrid>
      <w:tr w:rsidR="00A93ABC" w:rsidTr="004D4B16">
        <w:tc>
          <w:tcPr>
            <w:tcW w:w="9468" w:type="dxa"/>
            <w:gridSpan w:val="6"/>
          </w:tcPr>
          <w:p w:rsidR="00A93ABC" w:rsidRDefault="00A93ABC" w:rsidP="004D4B16">
            <w:pPr>
              <w:rPr>
                <w:lang w:eastAsia="en-US"/>
              </w:rPr>
            </w:pPr>
            <w:bookmarkStart w:id="0" w:name="_GoBack"/>
            <w:r>
              <w:t>Table S6: Discrimination measures (AUC) and calibration measures (</w:t>
            </w:r>
            <w:proofErr w:type="spellStart"/>
            <w:r>
              <w:t>Hosmer-Lemeshow</w:t>
            </w:r>
            <w:proofErr w:type="spellEnd"/>
            <w:r>
              <w:t xml:space="preserve"> calibration statistics) for comorbidity count in the former and current smoking control SPIROMICS participants.</w:t>
            </w:r>
          </w:p>
        </w:tc>
      </w:tr>
      <w:bookmarkEnd w:id="0"/>
      <w:tr w:rsidR="00A93ABC" w:rsidTr="004D4B16">
        <w:tc>
          <w:tcPr>
            <w:tcW w:w="3438" w:type="dxa"/>
          </w:tcPr>
          <w:p w:rsidR="00A93ABC" w:rsidRDefault="00A93ABC" w:rsidP="004D4B16"/>
        </w:tc>
        <w:tc>
          <w:tcPr>
            <w:tcW w:w="2700" w:type="dxa"/>
            <w:gridSpan w:val="2"/>
          </w:tcPr>
          <w:p w:rsidR="00A93ABC" w:rsidRDefault="00A93ABC" w:rsidP="004D4B16">
            <w:pPr>
              <w:jc w:val="center"/>
            </w:pPr>
            <w:r>
              <w:t>Association with outcome</w:t>
            </w:r>
          </w:p>
        </w:tc>
        <w:tc>
          <w:tcPr>
            <w:tcW w:w="990" w:type="dxa"/>
          </w:tcPr>
          <w:p w:rsidR="00A93ABC" w:rsidRDefault="00A93ABC" w:rsidP="004D4B16">
            <w:pPr>
              <w:jc w:val="center"/>
            </w:pPr>
            <w:r>
              <w:t>AUC</w:t>
            </w:r>
          </w:p>
        </w:tc>
        <w:tc>
          <w:tcPr>
            <w:tcW w:w="1170" w:type="dxa"/>
          </w:tcPr>
          <w:p w:rsidR="00A93ABC" w:rsidRDefault="00A93ABC" w:rsidP="004D4B16">
            <w:pPr>
              <w:jc w:val="center"/>
            </w:pPr>
            <w:r>
              <w:t>HL statistic</w:t>
            </w:r>
          </w:p>
        </w:tc>
        <w:tc>
          <w:tcPr>
            <w:tcW w:w="1170" w:type="dxa"/>
          </w:tcPr>
          <w:p w:rsidR="00A93ABC" w:rsidRDefault="00A93ABC" w:rsidP="004D4B16">
            <w:pPr>
              <w:jc w:val="center"/>
            </w:pPr>
            <w:r>
              <w:t>p-value for HL statistic</w:t>
            </w:r>
          </w:p>
        </w:tc>
      </w:tr>
      <w:tr w:rsidR="00A93ABC" w:rsidTr="004D4B16">
        <w:tc>
          <w:tcPr>
            <w:tcW w:w="3438" w:type="dxa"/>
          </w:tcPr>
          <w:p w:rsidR="00A93ABC" w:rsidRPr="005D78B9" w:rsidRDefault="00A93ABC" w:rsidP="004D4B16">
            <w:pPr>
              <w:rPr>
                <w:b/>
              </w:rPr>
            </w:pPr>
            <w:r>
              <w:rPr>
                <w:b/>
              </w:rPr>
              <w:t>SGRQ</w:t>
            </w:r>
          </w:p>
        </w:tc>
        <w:tc>
          <w:tcPr>
            <w:tcW w:w="1080" w:type="dxa"/>
          </w:tcPr>
          <w:p w:rsidR="00A93ABC" w:rsidRPr="005D78B9" w:rsidRDefault="00A93ABC" w:rsidP="004D4B16">
            <w:pPr>
              <w:jc w:val="center"/>
              <w:rPr>
                <w:b/>
              </w:rPr>
            </w:pPr>
            <w:r w:rsidRPr="00FD0322">
              <w:rPr>
                <w:rFonts w:ascii="Lucida Grande" w:hAnsi="Lucida Grande" w:cs="Lucida Grande"/>
                <w:b/>
                <w:color w:val="000000"/>
              </w:rPr>
              <w:t>β</w:t>
            </w:r>
          </w:p>
        </w:tc>
        <w:tc>
          <w:tcPr>
            <w:tcW w:w="1620" w:type="dxa"/>
          </w:tcPr>
          <w:p w:rsidR="00A93ABC" w:rsidRPr="005D78B9" w:rsidRDefault="00A93ABC" w:rsidP="004D4B16">
            <w:pPr>
              <w:jc w:val="center"/>
              <w:rPr>
                <w:b/>
              </w:rPr>
            </w:pPr>
            <w:r>
              <w:rPr>
                <w:b/>
              </w:rPr>
              <w:t>95% CI</w:t>
            </w:r>
          </w:p>
        </w:tc>
        <w:tc>
          <w:tcPr>
            <w:tcW w:w="3330" w:type="dxa"/>
            <w:gridSpan w:val="3"/>
          </w:tcPr>
          <w:p w:rsidR="00A93ABC" w:rsidRDefault="00A93ABC" w:rsidP="004D4B16">
            <w:pPr>
              <w:jc w:val="center"/>
            </w:pPr>
          </w:p>
        </w:tc>
      </w:tr>
      <w:tr w:rsidR="00A93ABC" w:rsidTr="004D4B16">
        <w:tc>
          <w:tcPr>
            <w:tcW w:w="3438" w:type="dxa"/>
          </w:tcPr>
          <w:p w:rsidR="00A93ABC" w:rsidRPr="005D78B9" w:rsidRDefault="00A93ABC" w:rsidP="004D4B16">
            <w:pPr>
              <w:rPr>
                <w:b/>
              </w:rPr>
            </w:pPr>
            <w:r>
              <w:t>Comorbidity count</w:t>
            </w:r>
          </w:p>
        </w:tc>
        <w:tc>
          <w:tcPr>
            <w:tcW w:w="1080" w:type="dxa"/>
          </w:tcPr>
          <w:p w:rsidR="00A93ABC" w:rsidRPr="005D78B9" w:rsidRDefault="00A93ABC" w:rsidP="004D4B16">
            <w:pPr>
              <w:jc w:val="center"/>
              <w:rPr>
                <w:b/>
              </w:rPr>
            </w:pPr>
            <w:r>
              <w:t>3·01</w:t>
            </w:r>
          </w:p>
        </w:tc>
        <w:tc>
          <w:tcPr>
            <w:tcW w:w="1620" w:type="dxa"/>
          </w:tcPr>
          <w:p w:rsidR="00A93ABC" w:rsidRPr="005D78B9" w:rsidRDefault="00A93ABC" w:rsidP="004D4B16">
            <w:pPr>
              <w:jc w:val="center"/>
              <w:rPr>
                <w:b/>
              </w:rPr>
            </w:pPr>
            <w:r>
              <w:t>(2·14, 3.88)</w:t>
            </w:r>
          </w:p>
        </w:tc>
        <w:tc>
          <w:tcPr>
            <w:tcW w:w="990" w:type="dxa"/>
          </w:tcPr>
          <w:p w:rsidR="00A93ABC" w:rsidRDefault="00A93ABC" w:rsidP="004D4B16">
            <w:pPr>
              <w:jc w:val="center"/>
            </w:pPr>
            <w:r>
              <w:t>0·7392</w:t>
            </w:r>
          </w:p>
        </w:tc>
        <w:tc>
          <w:tcPr>
            <w:tcW w:w="1170" w:type="dxa"/>
          </w:tcPr>
          <w:p w:rsidR="00A93ABC" w:rsidRDefault="00A93ABC" w:rsidP="004D4B16">
            <w:pPr>
              <w:jc w:val="center"/>
            </w:pPr>
            <w:r>
              <w:t>11.73</w:t>
            </w:r>
          </w:p>
        </w:tc>
        <w:tc>
          <w:tcPr>
            <w:tcW w:w="1170" w:type="dxa"/>
          </w:tcPr>
          <w:p w:rsidR="00A93ABC" w:rsidRDefault="00A93ABC" w:rsidP="004D4B16">
            <w:pPr>
              <w:jc w:val="center"/>
            </w:pPr>
            <w:r>
              <w:t>0·1635</w:t>
            </w:r>
          </w:p>
        </w:tc>
      </w:tr>
      <w:tr w:rsidR="00A93ABC" w:rsidTr="004D4B16">
        <w:tc>
          <w:tcPr>
            <w:tcW w:w="3438" w:type="dxa"/>
          </w:tcPr>
          <w:p w:rsidR="00A93ABC" w:rsidRPr="005D78B9" w:rsidRDefault="00A93ABC" w:rsidP="004D4B16">
            <w:pPr>
              <w:rPr>
                <w:b/>
              </w:rPr>
            </w:pPr>
            <w:r w:rsidRPr="005D78B9">
              <w:rPr>
                <w:b/>
              </w:rPr>
              <w:t>Exacerbations</w:t>
            </w:r>
          </w:p>
        </w:tc>
        <w:tc>
          <w:tcPr>
            <w:tcW w:w="1080" w:type="dxa"/>
          </w:tcPr>
          <w:p w:rsidR="00A93ABC" w:rsidRPr="005D78B9" w:rsidRDefault="00A93ABC" w:rsidP="004D4B16">
            <w:pPr>
              <w:jc w:val="center"/>
              <w:rPr>
                <w:b/>
              </w:rPr>
            </w:pPr>
            <w:r w:rsidRPr="005D78B9">
              <w:rPr>
                <w:b/>
              </w:rPr>
              <w:t>OR</w:t>
            </w:r>
          </w:p>
        </w:tc>
        <w:tc>
          <w:tcPr>
            <w:tcW w:w="1620" w:type="dxa"/>
          </w:tcPr>
          <w:p w:rsidR="00A93ABC" w:rsidRPr="005D78B9" w:rsidRDefault="00A93ABC" w:rsidP="004D4B16">
            <w:pPr>
              <w:jc w:val="center"/>
              <w:rPr>
                <w:b/>
              </w:rPr>
            </w:pPr>
            <w:r w:rsidRPr="005D78B9">
              <w:rPr>
                <w:b/>
              </w:rPr>
              <w:t>95% CI</w:t>
            </w:r>
          </w:p>
        </w:tc>
        <w:tc>
          <w:tcPr>
            <w:tcW w:w="3330" w:type="dxa"/>
            <w:gridSpan w:val="3"/>
          </w:tcPr>
          <w:p w:rsidR="00A93ABC" w:rsidRDefault="00A93ABC" w:rsidP="004D4B16">
            <w:pPr>
              <w:jc w:val="center"/>
            </w:pPr>
          </w:p>
        </w:tc>
      </w:tr>
      <w:tr w:rsidR="00A93ABC" w:rsidTr="004D4B16">
        <w:tc>
          <w:tcPr>
            <w:tcW w:w="3438" w:type="dxa"/>
          </w:tcPr>
          <w:p w:rsidR="00A93ABC" w:rsidRDefault="00A93ABC" w:rsidP="004D4B16">
            <w:r>
              <w:t>Comorbidity count</w:t>
            </w:r>
          </w:p>
        </w:tc>
        <w:tc>
          <w:tcPr>
            <w:tcW w:w="1080" w:type="dxa"/>
          </w:tcPr>
          <w:p w:rsidR="00A93ABC" w:rsidRDefault="00A93ABC" w:rsidP="004D4B16">
            <w:pPr>
              <w:jc w:val="center"/>
            </w:pPr>
            <w:r>
              <w:t>1·27</w:t>
            </w:r>
          </w:p>
        </w:tc>
        <w:tc>
          <w:tcPr>
            <w:tcW w:w="1620" w:type="dxa"/>
          </w:tcPr>
          <w:p w:rsidR="00A93ABC" w:rsidRDefault="00A93ABC" w:rsidP="004D4B16">
            <w:pPr>
              <w:jc w:val="center"/>
            </w:pPr>
            <w:r>
              <w:t>(1·08, 1·49)</w:t>
            </w:r>
          </w:p>
        </w:tc>
        <w:tc>
          <w:tcPr>
            <w:tcW w:w="990" w:type="dxa"/>
          </w:tcPr>
          <w:p w:rsidR="00A93ABC" w:rsidRDefault="00A93ABC" w:rsidP="004D4B16">
            <w:pPr>
              <w:jc w:val="center"/>
            </w:pPr>
            <w:r>
              <w:t>0·7231</w:t>
            </w:r>
          </w:p>
        </w:tc>
        <w:tc>
          <w:tcPr>
            <w:tcW w:w="1170" w:type="dxa"/>
          </w:tcPr>
          <w:p w:rsidR="00A93ABC" w:rsidRDefault="00A93ABC" w:rsidP="004D4B16">
            <w:pPr>
              <w:jc w:val="center"/>
            </w:pPr>
            <w:r>
              <w:t>4·81</w:t>
            </w:r>
          </w:p>
        </w:tc>
        <w:tc>
          <w:tcPr>
            <w:tcW w:w="1170" w:type="dxa"/>
          </w:tcPr>
          <w:p w:rsidR="00A93ABC" w:rsidRDefault="00A93ABC" w:rsidP="004D4B16">
            <w:pPr>
              <w:jc w:val="center"/>
            </w:pPr>
            <w:r>
              <w:t>0·7785</w:t>
            </w:r>
          </w:p>
        </w:tc>
      </w:tr>
      <w:tr w:rsidR="00A93ABC" w:rsidTr="004D4B16">
        <w:tc>
          <w:tcPr>
            <w:tcW w:w="3438" w:type="dxa"/>
          </w:tcPr>
          <w:p w:rsidR="00A93ABC" w:rsidRPr="00583D91" w:rsidRDefault="00A93ABC" w:rsidP="004D4B16">
            <w:pPr>
              <w:rPr>
                <w:b/>
              </w:rPr>
            </w:pPr>
            <w:r w:rsidRPr="00583D91">
              <w:rPr>
                <w:b/>
              </w:rPr>
              <w:t>MMRC</w:t>
            </w:r>
          </w:p>
        </w:tc>
        <w:tc>
          <w:tcPr>
            <w:tcW w:w="1080" w:type="dxa"/>
          </w:tcPr>
          <w:p w:rsidR="00A93ABC" w:rsidRPr="00583D91" w:rsidRDefault="00A93ABC" w:rsidP="004D4B16">
            <w:pPr>
              <w:jc w:val="center"/>
              <w:rPr>
                <w:b/>
              </w:rPr>
            </w:pPr>
            <w:r w:rsidRPr="00583D91">
              <w:rPr>
                <w:b/>
              </w:rPr>
              <w:t>OR</w:t>
            </w:r>
          </w:p>
        </w:tc>
        <w:tc>
          <w:tcPr>
            <w:tcW w:w="1620" w:type="dxa"/>
          </w:tcPr>
          <w:p w:rsidR="00A93ABC" w:rsidRPr="00583D91" w:rsidRDefault="00A93ABC" w:rsidP="004D4B16">
            <w:pPr>
              <w:jc w:val="center"/>
              <w:rPr>
                <w:b/>
              </w:rPr>
            </w:pPr>
            <w:r w:rsidRPr="00583D91">
              <w:rPr>
                <w:b/>
              </w:rPr>
              <w:t>95% CI</w:t>
            </w:r>
          </w:p>
        </w:tc>
        <w:tc>
          <w:tcPr>
            <w:tcW w:w="3330" w:type="dxa"/>
            <w:gridSpan w:val="3"/>
          </w:tcPr>
          <w:p w:rsidR="00A93ABC" w:rsidRDefault="00A93ABC" w:rsidP="004D4B16">
            <w:pPr>
              <w:jc w:val="center"/>
            </w:pPr>
          </w:p>
        </w:tc>
      </w:tr>
      <w:tr w:rsidR="00A93ABC" w:rsidTr="004D4B16">
        <w:tc>
          <w:tcPr>
            <w:tcW w:w="3438" w:type="dxa"/>
          </w:tcPr>
          <w:p w:rsidR="00A93ABC" w:rsidRDefault="00A93ABC" w:rsidP="004D4B16">
            <w:r>
              <w:t>Comorbidity count</w:t>
            </w:r>
          </w:p>
        </w:tc>
        <w:tc>
          <w:tcPr>
            <w:tcW w:w="1080" w:type="dxa"/>
          </w:tcPr>
          <w:p w:rsidR="00A93ABC" w:rsidRDefault="00A93ABC" w:rsidP="004D4B16">
            <w:pPr>
              <w:jc w:val="center"/>
            </w:pPr>
            <w:r>
              <w:t>1·36</w:t>
            </w:r>
          </w:p>
        </w:tc>
        <w:tc>
          <w:tcPr>
            <w:tcW w:w="1620" w:type="dxa"/>
          </w:tcPr>
          <w:p w:rsidR="00A93ABC" w:rsidRDefault="00A93ABC" w:rsidP="004D4B16">
            <w:pPr>
              <w:jc w:val="center"/>
            </w:pPr>
            <w:r>
              <w:t>(1·21, 1·52)</w:t>
            </w:r>
          </w:p>
        </w:tc>
        <w:tc>
          <w:tcPr>
            <w:tcW w:w="990" w:type="dxa"/>
          </w:tcPr>
          <w:p w:rsidR="00A93ABC" w:rsidRDefault="00A93ABC" w:rsidP="004D4B16">
            <w:pPr>
              <w:jc w:val="center"/>
            </w:pPr>
            <w:r>
              <w:t>0·7268</w:t>
            </w:r>
          </w:p>
        </w:tc>
        <w:tc>
          <w:tcPr>
            <w:tcW w:w="1170" w:type="dxa"/>
          </w:tcPr>
          <w:p w:rsidR="00A93ABC" w:rsidRDefault="00A93ABC" w:rsidP="004D4B16">
            <w:pPr>
              <w:jc w:val="center"/>
            </w:pPr>
            <w:r>
              <w:t>7.09</w:t>
            </w:r>
          </w:p>
        </w:tc>
        <w:tc>
          <w:tcPr>
            <w:tcW w:w="1170" w:type="dxa"/>
          </w:tcPr>
          <w:p w:rsidR="00A93ABC" w:rsidRDefault="00A93ABC" w:rsidP="004D4B16">
            <w:pPr>
              <w:jc w:val="center"/>
            </w:pPr>
            <w:r>
              <w:t>0·5273</w:t>
            </w:r>
          </w:p>
        </w:tc>
      </w:tr>
      <w:tr w:rsidR="00A93ABC" w:rsidTr="004D4B16">
        <w:tc>
          <w:tcPr>
            <w:tcW w:w="3438" w:type="dxa"/>
          </w:tcPr>
          <w:p w:rsidR="00A93ABC" w:rsidRPr="00583D91" w:rsidRDefault="00A93ABC" w:rsidP="004D4B16">
            <w:pPr>
              <w:rPr>
                <w:b/>
              </w:rPr>
            </w:pPr>
            <w:r w:rsidRPr="00583D91">
              <w:rPr>
                <w:b/>
              </w:rPr>
              <w:t>6MWD</w:t>
            </w:r>
          </w:p>
        </w:tc>
        <w:tc>
          <w:tcPr>
            <w:tcW w:w="1080" w:type="dxa"/>
          </w:tcPr>
          <w:p w:rsidR="00A93ABC" w:rsidRDefault="00A93ABC" w:rsidP="004D4B16">
            <w:pPr>
              <w:jc w:val="center"/>
            </w:pPr>
            <w:r w:rsidRPr="00FD0322">
              <w:rPr>
                <w:rFonts w:ascii="Lucida Grande" w:hAnsi="Lucida Grande" w:cs="Lucida Grande"/>
                <w:b/>
                <w:color w:val="000000"/>
              </w:rPr>
              <w:t>β</w:t>
            </w:r>
          </w:p>
        </w:tc>
        <w:tc>
          <w:tcPr>
            <w:tcW w:w="1620" w:type="dxa"/>
          </w:tcPr>
          <w:p w:rsidR="00A93ABC" w:rsidRPr="00583D91" w:rsidRDefault="00A93ABC" w:rsidP="004D4B16">
            <w:pPr>
              <w:jc w:val="center"/>
              <w:rPr>
                <w:b/>
              </w:rPr>
            </w:pPr>
            <w:r w:rsidRPr="00583D91">
              <w:rPr>
                <w:b/>
              </w:rPr>
              <w:t>95% CI</w:t>
            </w:r>
          </w:p>
        </w:tc>
        <w:tc>
          <w:tcPr>
            <w:tcW w:w="3330" w:type="dxa"/>
            <w:gridSpan w:val="3"/>
          </w:tcPr>
          <w:p w:rsidR="00A93ABC" w:rsidRDefault="00A93ABC" w:rsidP="004D4B16">
            <w:pPr>
              <w:jc w:val="center"/>
            </w:pPr>
          </w:p>
        </w:tc>
      </w:tr>
      <w:tr w:rsidR="00A93ABC" w:rsidTr="004D4B16">
        <w:tc>
          <w:tcPr>
            <w:tcW w:w="3438" w:type="dxa"/>
          </w:tcPr>
          <w:p w:rsidR="00A93ABC" w:rsidRDefault="00A93ABC" w:rsidP="004D4B16">
            <w:r>
              <w:t>Comorbidity count</w:t>
            </w:r>
          </w:p>
        </w:tc>
        <w:tc>
          <w:tcPr>
            <w:tcW w:w="1080" w:type="dxa"/>
          </w:tcPr>
          <w:p w:rsidR="00A93ABC" w:rsidRDefault="00A93ABC" w:rsidP="004D4B16">
            <w:pPr>
              <w:jc w:val="center"/>
            </w:pPr>
            <w:r>
              <w:t>-8·2</w:t>
            </w:r>
          </w:p>
        </w:tc>
        <w:tc>
          <w:tcPr>
            <w:tcW w:w="1620" w:type="dxa"/>
          </w:tcPr>
          <w:p w:rsidR="00A93ABC" w:rsidRDefault="00A93ABC" w:rsidP="004D4B16">
            <w:pPr>
              <w:jc w:val="center"/>
            </w:pPr>
            <w:r>
              <w:t>(-12·8, -3·6)</w:t>
            </w:r>
          </w:p>
        </w:tc>
        <w:tc>
          <w:tcPr>
            <w:tcW w:w="990" w:type="dxa"/>
          </w:tcPr>
          <w:p w:rsidR="00A93ABC" w:rsidRDefault="00A93ABC" w:rsidP="004D4B16">
            <w:pPr>
              <w:jc w:val="center"/>
            </w:pPr>
            <w:r>
              <w:t>0·6662</w:t>
            </w:r>
          </w:p>
        </w:tc>
        <w:tc>
          <w:tcPr>
            <w:tcW w:w="1170" w:type="dxa"/>
          </w:tcPr>
          <w:p w:rsidR="00A93ABC" w:rsidRDefault="00A93ABC" w:rsidP="004D4B16">
            <w:pPr>
              <w:jc w:val="center"/>
            </w:pPr>
            <w:r>
              <w:t>14.83</w:t>
            </w:r>
          </w:p>
        </w:tc>
        <w:tc>
          <w:tcPr>
            <w:tcW w:w="1170" w:type="dxa"/>
          </w:tcPr>
          <w:p w:rsidR="00A93ABC" w:rsidRDefault="00A93ABC" w:rsidP="004D4B16">
            <w:pPr>
              <w:jc w:val="center"/>
            </w:pPr>
            <w:r>
              <w:t>0·0624</w:t>
            </w:r>
          </w:p>
        </w:tc>
      </w:tr>
      <w:tr w:rsidR="00A93ABC" w:rsidTr="004D4B16">
        <w:tc>
          <w:tcPr>
            <w:tcW w:w="9468" w:type="dxa"/>
            <w:gridSpan w:val="6"/>
          </w:tcPr>
          <w:p w:rsidR="00A93ABC" w:rsidRDefault="00A93ABC" w:rsidP="004D4B16">
            <w:r>
              <w:t xml:space="preserve">Above models also include terms for age, gender, race, baseline FEV1, </w:t>
            </w:r>
            <w:proofErr w:type="gramStart"/>
            <w:r>
              <w:t>pack</w:t>
            </w:r>
            <w:proofErr w:type="gramEnd"/>
            <w:r>
              <w:t xml:space="preserve">-years smoked and current smoking status. The AUCs for the empty models with p-value for change after adding comorbidity are as follows: SGRQ 0.6974 (p=0.01), MMRC 0.6814 (p=0.01), 6MWD 0.6332 (p=0.06), exacerbations 0.7030 (p=0.23). For associations with outcome, OR for exacerbations represents risk for exacerbation conferred by one point increase in comorbidity score, OR for MMRC represents risk for worse dyspnea score conferred by one point increase in comorbidity score, and </w:t>
            </w:r>
            <w:r w:rsidRPr="00583D91">
              <w:rPr>
                <w:rFonts w:cs="Lucida Grande"/>
                <w:color w:val="000000"/>
              </w:rPr>
              <w:t>β</w:t>
            </w:r>
            <w:r>
              <w:rPr>
                <w:rFonts w:cs="Lucida Grande"/>
                <w:color w:val="000000"/>
              </w:rPr>
              <w:t>’s</w:t>
            </w:r>
            <w:r w:rsidRPr="00583D91">
              <w:rPr>
                <w:rFonts w:cs="Lucida Grande"/>
                <w:color w:val="000000"/>
              </w:rPr>
              <w:t xml:space="preserve"> </w:t>
            </w:r>
            <w:r>
              <w:rPr>
                <w:rFonts w:cs="Lucida Grande"/>
                <w:color w:val="000000"/>
              </w:rPr>
              <w:t xml:space="preserve">for SGRQ and 6MWD represent decrement in health status and exercise capacity conferred by one point increase in comorbidity score. </w:t>
            </w:r>
          </w:p>
        </w:tc>
      </w:tr>
    </w:tbl>
    <w:p w:rsidR="00E83221" w:rsidRDefault="00A93ABC"/>
    <w:sectPr w:rsidR="00E8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C"/>
    <w:rsid w:val="003B4C9A"/>
    <w:rsid w:val="0087379B"/>
    <w:rsid w:val="00A9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DD6E5-AA44-4C11-8BE3-8151DC75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BC"/>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JHU DOM</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Nirupama Putcha</dc:creator>
  <cp:keywords/>
  <dc:description/>
  <cp:lastModifiedBy>Nirupama Putcha</cp:lastModifiedBy>
  <cp:revision>1</cp:revision>
  <dcterms:created xsi:type="dcterms:W3CDTF">2014-09-09T20:38:00Z</dcterms:created>
  <dcterms:modified xsi:type="dcterms:W3CDTF">2014-09-09T20:38:00Z</dcterms:modified>
</cp:coreProperties>
</file>