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AAE" w:rsidRDefault="00A60AAE" w:rsidP="00A60AAE">
      <w:pPr>
        <w:spacing w:line="480" w:lineRule="auto"/>
        <w:rPr>
          <w:b/>
          <w:bCs/>
          <w:u w:val="single"/>
        </w:rPr>
      </w:pPr>
      <w:r w:rsidRPr="00172007">
        <w:rPr>
          <w:b/>
          <w:bCs/>
          <w:u w:val="single"/>
        </w:rPr>
        <w:t>Supplementary material</w:t>
      </w:r>
      <w:r w:rsidR="001B2274">
        <w:rPr>
          <w:b/>
          <w:bCs/>
          <w:u w:val="single"/>
        </w:rPr>
        <w:t xml:space="preserve"> Section S1</w:t>
      </w:r>
      <w:r w:rsidRPr="00172007">
        <w:rPr>
          <w:b/>
          <w:bCs/>
          <w:u w:val="single"/>
        </w:rPr>
        <w:t xml:space="preserve">: </w:t>
      </w:r>
    </w:p>
    <w:p w:rsidR="00A60AAE" w:rsidRPr="00172007" w:rsidRDefault="00A60AAE" w:rsidP="00A60AAE">
      <w:pPr>
        <w:spacing w:line="480" w:lineRule="auto"/>
        <w:rPr>
          <w:b/>
          <w:bCs/>
          <w:u w:val="single"/>
        </w:rPr>
      </w:pPr>
      <w:r>
        <w:rPr>
          <w:b/>
          <w:bCs/>
          <w:u w:val="single"/>
        </w:rPr>
        <w:t>M</w:t>
      </w:r>
      <w:r w:rsidRPr="00172007">
        <w:rPr>
          <w:b/>
          <w:bCs/>
          <w:u w:val="single"/>
        </w:rPr>
        <w:t>athematical description of the models used</w:t>
      </w:r>
    </w:p>
    <w:p w:rsidR="00A60AAE" w:rsidRPr="0011675A" w:rsidRDefault="00A60AAE" w:rsidP="00A60AAE">
      <w:pPr>
        <w:spacing w:line="480" w:lineRule="auto"/>
        <w:ind w:firstLine="720"/>
      </w:pPr>
      <w:r w:rsidRPr="0011675A">
        <w:t xml:space="preserve">We assumed that the mean of the normal distribution (for length of overwinter period) or WN distribution (for start of season and end of season) had a linear relationship with environmental drivers. When performing analyses for the </w:t>
      </w:r>
      <w:r w:rsidRPr="0011675A">
        <w:rPr>
          <w:i/>
          <w:iCs/>
        </w:rPr>
        <w:t>Avaritia</w:t>
      </w:r>
      <w:r w:rsidRPr="0011675A">
        <w:t xml:space="preserve"> females this relationship was assumed to be of the form</w:t>
      </w:r>
      <w:r w:rsidRPr="0011675A">
        <w:tab/>
      </w:r>
      <w:r w:rsidRPr="0011675A">
        <w:tab/>
        <w:t xml:space="preserve"> </w:t>
      </w:r>
    </w:p>
    <w:p w:rsidR="00A60AAE" w:rsidRPr="0011675A" w:rsidRDefault="00A60AAE" w:rsidP="00A60AAE">
      <w:pPr>
        <w:spacing w:line="480" w:lineRule="auto"/>
        <w:ind w:firstLine="720"/>
      </w:pPr>
      <w:r w:rsidRPr="0011675A">
        <w:rPr>
          <w:position w:val="-28"/>
        </w:rPr>
        <w:object w:dxaOrig="25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39.35pt" o:ole="">
            <v:imagedata r:id="rId4" o:title=""/>
          </v:shape>
          <o:OLEObject Type="Embed" ProgID="Msxml2.SAXXMLReader.5.0" ShapeID="_x0000_i1025" DrawAspect="Content" ObjectID="_1475328315" r:id="rId5"/>
        </w:object>
      </w:r>
    </w:p>
    <w:p w:rsidR="00A60AAE" w:rsidRPr="0011675A" w:rsidRDefault="00A60AAE" w:rsidP="00A60AAE">
      <w:pPr>
        <w:spacing w:line="480" w:lineRule="auto"/>
      </w:pPr>
      <w:r w:rsidRPr="0011675A">
        <w:t xml:space="preserve">where </w:t>
      </w:r>
      <w:r>
        <w:rPr>
          <w:noProof/>
          <w:position w:val="-12"/>
        </w:rPr>
        <w:drawing>
          <wp:inline distT="0" distB="0" distL="0" distR="0">
            <wp:extent cx="216535" cy="216535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75A">
        <w:t xml:space="preserve">is the expected value of the response variable for site </w:t>
      </w:r>
      <w:proofErr w:type="spellStart"/>
      <w:r w:rsidRPr="0011675A">
        <w:rPr>
          <w:i/>
          <w:iCs/>
        </w:rPr>
        <w:t>i</w:t>
      </w:r>
      <w:proofErr w:type="spellEnd"/>
      <w:r w:rsidRPr="0011675A">
        <w:t xml:space="preserve"> in year </w:t>
      </w:r>
      <w:r w:rsidRPr="0011675A">
        <w:rPr>
          <w:i/>
          <w:iCs/>
        </w:rPr>
        <w:t>j</w:t>
      </w:r>
      <w:r w:rsidRPr="0011675A">
        <w:t xml:space="preserve"> and </w:t>
      </w:r>
      <w:r>
        <w:rPr>
          <w:noProof/>
          <w:position w:val="-12"/>
        </w:rPr>
        <w:drawing>
          <wp:inline distT="0" distB="0" distL="0" distR="0">
            <wp:extent cx="216535" cy="216535"/>
            <wp:effectExtent l="19050" t="0" r="0" b="0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75A">
        <w:t xml:space="preserve">are the values of the </w:t>
      </w:r>
      <w:r w:rsidRPr="0011675A">
        <w:rPr>
          <w:i/>
          <w:iCs/>
        </w:rPr>
        <w:t>k</w:t>
      </w:r>
      <w:r w:rsidRPr="0011675A">
        <w:t>-</w:t>
      </w:r>
      <w:proofErr w:type="spellStart"/>
      <w:r w:rsidRPr="0011675A">
        <w:t>th</w:t>
      </w:r>
      <w:proofErr w:type="spellEnd"/>
      <w:r w:rsidRPr="0011675A">
        <w:t xml:space="preserve"> environmental variable at site </w:t>
      </w:r>
      <w:proofErr w:type="spellStart"/>
      <w:r w:rsidRPr="0011675A">
        <w:rPr>
          <w:i/>
          <w:iCs/>
        </w:rPr>
        <w:t>i</w:t>
      </w:r>
      <w:proofErr w:type="spellEnd"/>
      <w:r w:rsidRPr="0011675A">
        <w:t xml:space="preserve"> in year </w:t>
      </w:r>
      <w:r w:rsidRPr="0011675A">
        <w:rPr>
          <w:i/>
          <w:iCs/>
        </w:rPr>
        <w:t>j</w:t>
      </w:r>
      <w:r w:rsidRPr="0011675A">
        <w:t xml:space="preserve">. Parameters </w:t>
      </w:r>
      <w:r>
        <w:rPr>
          <w:noProof/>
          <w:position w:val="-12"/>
        </w:rPr>
        <w:drawing>
          <wp:inline distT="0" distB="0" distL="0" distR="0">
            <wp:extent cx="113030" cy="216535"/>
            <wp:effectExtent l="19050" t="0" r="127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75A">
        <w:t xml:space="preserve"> and </w:t>
      </w:r>
      <w:r>
        <w:rPr>
          <w:noProof/>
          <w:position w:val="-12"/>
        </w:rPr>
        <w:drawing>
          <wp:inline distT="0" distB="0" distL="0" distR="0">
            <wp:extent cx="113030" cy="216535"/>
            <wp:effectExtent l="19050" t="0" r="1270" b="0"/>
            <wp:docPr id="5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1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75A">
        <w:t>are random effects that are each assumed to be normally distributed with zero mean and unknown variance</w:t>
      </w:r>
    </w:p>
    <w:p w:rsidR="00A60AAE" w:rsidRPr="0011675A" w:rsidRDefault="00A60AAE" w:rsidP="00A60AAE">
      <w:pPr>
        <w:spacing w:line="480" w:lineRule="auto"/>
        <w:ind w:firstLine="720"/>
      </w:pPr>
      <w:r w:rsidRPr="0011675A">
        <w:rPr>
          <w:position w:val="-36"/>
        </w:rPr>
        <w:object w:dxaOrig="1340" w:dyaOrig="840">
          <v:shape id="_x0000_i1030" type="#_x0000_t75" style="width:76.45pt;height:48.25pt" o:ole="">
            <v:imagedata r:id="rId10" o:title=""/>
          </v:shape>
          <o:OLEObject Type="Embed" ProgID="Equation.3" ShapeID="_x0000_i1030" DrawAspect="Content" ObjectID="_1475328316" r:id="rId11"/>
        </w:object>
      </w:r>
      <w:r w:rsidRPr="0011675A">
        <w:t>;</w:t>
      </w:r>
    </w:p>
    <w:p w:rsidR="00A60AAE" w:rsidRPr="0011675A" w:rsidRDefault="00A60AAE" w:rsidP="00A60AAE">
      <w:pPr>
        <w:spacing w:line="480" w:lineRule="auto"/>
      </w:pPr>
      <w:proofErr w:type="gramStart"/>
      <w:r w:rsidRPr="0011675A">
        <w:t>these</w:t>
      </w:r>
      <w:proofErr w:type="gramEnd"/>
      <w:r w:rsidRPr="0011675A">
        <w:t xml:space="preserve"> random effects reflect, respectively, unstructured temporal heterogeneity (variation between years) and unstructured spatial heterogeneity (variation between sites). The intercept </w:t>
      </w:r>
      <w:r w:rsidRPr="0011675A">
        <w:rPr>
          <w:i/>
          <w:iCs/>
        </w:rPr>
        <w:t>a</w:t>
      </w:r>
      <w:r w:rsidRPr="0011675A">
        <w:t xml:space="preserve">, regression coefficients </w:t>
      </w:r>
      <w:proofErr w:type="spellStart"/>
      <w:proofErr w:type="gramStart"/>
      <w:r w:rsidRPr="0011675A">
        <w:rPr>
          <w:i/>
          <w:iCs/>
        </w:rPr>
        <w:t>b</w:t>
      </w:r>
      <w:r w:rsidRPr="0011675A">
        <w:rPr>
          <w:i/>
          <w:iCs/>
          <w:vertAlign w:val="subscript"/>
        </w:rPr>
        <w:t>k</w:t>
      </w:r>
      <w:proofErr w:type="spellEnd"/>
      <w:r w:rsidRPr="0011675A">
        <w:rPr>
          <w:vertAlign w:val="subscript"/>
        </w:rPr>
        <w:t xml:space="preserve"> </w:t>
      </w:r>
      <w:r w:rsidRPr="0011675A">
        <w:t>,</w:t>
      </w:r>
      <w:proofErr w:type="gramEnd"/>
      <w:r w:rsidRPr="0011675A">
        <w:t xml:space="preserve"> random effect variances </w:t>
      </w:r>
      <w:r w:rsidRPr="0011675A">
        <w:sym w:font="Symbol" w:char="F073"/>
      </w:r>
      <w:r w:rsidRPr="0011675A">
        <w:rPr>
          <w:vertAlign w:val="subscript"/>
        </w:rPr>
        <w:sym w:font="Symbol" w:char="F067"/>
      </w:r>
      <w:r w:rsidRPr="0011675A">
        <w:rPr>
          <w:vertAlign w:val="superscript"/>
        </w:rPr>
        <w:t xml:space="preserve">2 </w:t>
      </w:r>
      <w:r w:rsidRPr="0011675A">
        <w:t xml:space="preserve"> and </w:t>
      </w:r>
      <w:r w:rsidRPr="0011675A">
        <w:sym w:font="Symbol" w:char="F073"/>
      </w:r>
      <w:r w:rsidRPr="0011675A">
        <w:rPr>
          <w:vertAlign w:val="subscript"/>
        </w:rPr>
        <w:sym w:font="Symbol" w:char="F066"/>
      </w:r>
      <w:r w:rsidRPr="0011675A">
        <w:rPr>
          <w:vertAlign w:val="superscript"/>
        </w:rPr>
        <w:t xml:space="preserve">2 </w:t>
      </w:r>
      <w:r w:rsidRPr="0011675A">
        <w:t xml:space="preserve"> and residual variance </w:t>
      </w:r>
      <w:r w:rsidRPr="0011675A">
        <w:sym w:font="Symbol" w:char="F073"/>
      </w:r>
      <w:r w:rsidRPr="0011675A">
        <w:rPr>
          <w:vertAlign w:val="subscript"/>
        </w:rPr>
        <w:sym w:font="Symbol" w:char="F065"/>
      </w:r>
      <w:r w:rsidRPr="0011675A">
        <w:rPr>
          <w:vertAlign w:val="superscript"/>
        </w:rPr>
        <w:t>2</w:t>
      </w:r>
      <w:r w:rsidRPr="0011675A">
        <w:t xml:space="preserve"> are all unknown parameters.</w:t>
      </w:r>
    </w:p>
    <w:p w:rsidR="00A60AAE" w:rsidRPr="0011675A" w:rsidRDefault="00A60AAE" w:rsidP="00A60AAE">
      <w:pPr>
        <w:spacing w:line="480" w:lineRule="auto"/>
        <w:ind w:firstLine="720"/>
      </w:pPr>
      <w:r w:rsidRPr="0011675A">
        <w:t xml:space="preserve">For the analysis of the </w:t>
      </w:r>
      <w:r w:rsidRPr="0011675A">
        <w:rPr>
          <w:i/>
          <w:iCs/>
        </w:rPr>
        <w:t>Avaritia</w:t>
      </w:r>
      <w:r w:rsidRPr="0011675A">
        <w:t xml:space="preserve"> males the relationship is assumed to be of the form</w:t>
      </w:r>
    </w:p>
    <w:p w:rsidR="00A60AAE" w:rsidRPr="0011675A" w:rsidRDefault="00A60AAE" w:rsidP="00A60AAE">
      <w:pPr>
        <w:spacing w:line="480" w:lineRule="auto"/>
        <w:ind w:firstLine="720"/>
      </w:pPr>
      <w:r>
        <w:rPr>
          <w:noProof/>
          <w:position w:val="-28"/>
        </w:rPr>
        <w:drawing>
          <wp:inline distT="0" distB="0" distL="0" distR="0">
            <wp:extent cx="2394585" cy="527685"/>
            <wp:effectExtent l="19050" t="0" r="5715" b="0"/>
            <wp:docPr id="7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52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AE" w:rsidRPr="0011675A" w:rsidRDefault="00A60AAE" w:rsidP="00A60AAE">
      <w:pPr>
        <w:spacing w:line="480" w:lineRule="auto"/>
      </w:pPr>
      <w:proofErr w:type="gramStart"/>
      <w:r w:rsidRPr="0011675A">
        <w:t>where</w:t>
      </w:r>
      <w:proofErr w:type="gramEnd"/>
      <w:r w:rsidRPr="0011675A">
        <w:t xml:space="preserve"> </w:t>
      </w:r>
      <w:r>
        <w:rPr>
          <w:noProof/>
          <w:position w:val="-14"/>
        </w:rPr>
        <w:drawing>
          <wp:inline distT="0" distB="0" distL="0" distR="0">
            <wp:extent cx="113030" cy="245110"/>
            <wp:effectExtent l="0" t="0" r="1270" b="0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30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1675A">
        <w:t xml:space="preserve">is the expected value of the response variable for species </w:t>
      </w:r>
      <w:r w:rsidRPr="0011675A">
        <w:rPr>
          <w:i/>
          <w:iCs/>
        </w:rPr>
        <w:t>k</w:t>
      </w:r>
      <w:r w:rsidRPr="0011675A">
        <w:t xml:space="preserve"> at site </w:t>
      </w:r>
      <w:proofErr w:type="spellStart"/>
      <w:r w:rsidRPr="0011675A">
        <w:rPr>
          <w:i/>
          <w:iCs/>
        </w:rPr>
        <w:t>i</w:t>
      </w:r>
      <w:proofErr w:type="spellEnd"/>
      <w:r w:rsidRPr="0011675A">
        <w:t xml:space="preserve"> in year </w:t>
      </w:r>
      <w:r w:rsidRPr="0011675A">
        <w:rPr>
          <w:i/>
          <w:iCs/>
        </w:rPr>
        <w:t>j</w:t>
      </w:r>
      <w:r w:rsidRPr="0011675A">
        <w:t xml:space="preserve">, summed across </w:t>
      </w:r>
      <w:r w:rsidRPr="0011675A">
        <w:rPr>
          <w:i/>
          <w:iCs/>
        </w:rPr>
        <w:t>l</w:t>
      </w:r>
      <w:r w:rsidRPr="0011675A">
        <w:t xml:space="preserve"> environmental variables (</w:t>
      </w:r>
      <w:r w:rsidRPr="0011675A">
        <w:rPr>
          <w:i/>
          <w:iCs/>
        </w:rPr>
        <w:t>x</w:t>
      </w:r>
      <w:r w:rsidRPr="0011675A">
        <w:t xml:space="preserve">), and </w:t>
      </w:r>
    </w:p>
    <w:p w:rsidR="00A60AAE" w:rsidRPr="0011675A" w:rsidRDefault="00A60AAE" w:rsidP="00A60AAE">
      <w:pPr>
        <w:spacing w:line="480" w:lineRule="auto"/>
        <w:ind w:firstLine="720"/>
        <w:rPr>
          <w:i/>
          <w:iCs/>
        </w:rPr>
      </w:pPr>
      <w:r>
        <w:rPr>
          <w:noProof/>
          <w:position w:val="-14"/>
        </w:rPr>
        <w:drawing>
          <wp:inline distT="0" distB="0" distL="0" distR="0">
            <wp:extent cx="989965" cy="273685"/>
            <wp:effectExtent l="19050" t="0" r="635" b="0"/>
            <wp:docPr id="9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AAE" w:rsidRPr="0011675A" w:rsidRDefault="00A60AAE" w:rsidP="00A60AAE">
      <w:pPr>
        <w:spacing w:line="480" w:lineRule="auto"/>
      </w:pPr>
      <w:proofErr w:type="gramStart"/>
      <w:r w:rsidRPr="0011675A">
        <w:lastRenderedPageBreak/>
        <w:t>is</w:t>
      </w:r>
      <w:proofErr w:type="gramEnd"/>
      <w:r w:rsidRPr="0011675A">
        <w:t xml:space="preserve"> a random effect reflecting the combined effects of spatial and temporal variation. The additional parameters </w:t>
      </w:r>
      <w:r w:rsidRPr="0011675A">
        <w:rPr>
          <w:i/>
          <w:iCs/>
        </w:rPr>
        <w:sym w:font="Symbol" w:char="F061"/>
      </w:r>
      <w:proofErr w:type="spellStart"/>
      <w:r w:rsidRPr="0011675A">
        <w:rPr>
          <w:i/>
          <w:iCs/>
          <w:vertAlign w:val="subscript"/>
        </w:rPr>
        <w:t>i</w:t>
      </w:r>
      <w:proofErr w:type="spellEnd"/>
      <w:r w:rsidRPr="0011675A">
        <w:t xml:space="preserve"> and </w:t>
      </w:r>
      <w:r w:rsidRPr="0011675A">
        <w:rPr>
          <w:i/>
          <w:iCs/>
        </w:rPr>
        <w:sym w:font="Symbol" w:char="F062"/>
      </w:r>
      <w:proofErr w:type="spellStart"/>
      <w:proofErr w:type="gramStart"/>
      <w:r w:rsidRPr="0011675A">
        <w:rPr>
          <w:i/>
          <w:iCs/>
          <w:vertAlign w:val="subscript"/>
        </w:rPr>
        <w:t>ik</w:t>
      </w:r>
      <w:proofErr w:type="spellEnd"/>
      <w:r w:rsidRPr="0011675A">
        <w:rPr>
          <w:i/>
          <w:iCs/>
          <w:vertAlign w:val="subscript"/>
        </w:rPr>
        <w:t xml:space="preserve">  </w:t>
      </w:r>
      <w:r w:rsidRPr="0011675A">
        <w:t>represent</w:t>
      </w:r>
      <w:proofErr w:type="gramEnd"/>
      <w:r w:rsidRPr="0011675A">
        <w:t xml:space="preserve"> species-specific intercepts and species-environment interactions respectively.</w:t>
      </w:r>
    </w:p>
    <w:p w:rsidR="00491DFD" w:rsidRDefault="00491DFD"/>
    <w:sectPr w:rsidR="00491DFD" w:rsidSect="00491D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compat/>
  <w:rsids>
    <w:rsidRoot w:val="00A60AAE"/>
    <w:rsid w:val="001B2274"/>
    <w:rsid w:val="00491DFD"/>
    <w:rsid w:val="00A60AAE"/>
    <w:rsid w:val="00FA6299"/>
    <w:rsid w:val="00FF6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AAE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1247</Characters>
  <Application>Microsoft Office Word</Application>
  <DocSecurity>0</DocSecurity>
  <Lines>10</Lines>
  <Paragraphs>2</Paragraphs>
  <ScaleCrop>false</ScaleCrop>
  <Company>NERC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2014-10-20T15:39:00Z</dcterms:created>
  <dcterms:modified xsi:type="dcterms:W3CDTF">2014-10-20T15:39:00Z</dcterms:modified>
</cp:coreProperties>
</file>