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F3" w:rsidRPr="00920883" w:rsidRDefault="004C37F3" w:rsidP="004C37F3">
      <w:pPr>
        <w:spacing w:line="360" w:lineRule="auto"/>
        <w:rPr>
          <w:i/>
        </w:rPr>
      </w:pPr>
      <w:r>
        <w:rPr>
          <w:i/>
        </w:rPr>
        <w:t xml:space="preserve">Supplementary </w:t>
      </w:r>
      <w:r w:rsidRPr="00920883">
        <w:rPr>
          <w:i/>
        </w:rPr>
        <w:t>Table S1</w:t>
      </w:r>
    </w:p>
    <w:p w:rsidR="004C37F3" w:rsidRPr="00C04399" w:rsidRDefault="004C37F3" w:rsidP="004C37F3">
      <w:pPr>
        <w:spacing w:line="360" w:lineRule="auto"/>
      </w:pPr>
      <w:r>
        <w:t>Comparisons of sighting proportions before and after tagging and biopsy attempts on killer whales at Marion Island (paired Wilcox rank sum test).  The sighting proportion is the number of photographic sightings of an individual in a given period, divided by the number of photographic sightings of all individuals in that period (follow</w:t>
      </w:r>
      <w:r w:rsidR="002F084D">
        <w:t>ing [</w:t>
      </w:r>
      <w:r w:rsidR="003B4528">
        <w:t>1</w:t>
      </w:r>
      <w:bookmarkStart w:id="0" w:name="_GoBack"/>
      <w:bookmarkEnd w:id="0"/>
      <w:r w:rsidR="002F084D">
        <w:t>]</w:t>
      </w:r>
      <w: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09"/>
        <w:gridCol w:w="709"/>
        <w:gridCol w:w="992"/>
      </w:tblGrid>
      <w:tr w:rsidR="004C37F3" w:rsidTr="00140CD7">
        <w:tc>
          <w:tcPr>
            <w:tcW w:w="3085" w:type="dxa"/>
            <w:tcBorders>
              <w:top w:val="single" w:sz="4" w:space="0" w:color="auto"/>
              <w:bottom w:val="single" w:sz="4" w:space="0" w:color="auto"/>
            </w:tcBorders>
          </w:tcPr>
          <w:p w:rsidR="004C37F3" w:rsidRDefault="004C37F3" w:rsidP="004C37F3">
            <w:pPr>
              <w:spacing w:line="360" w:lineRule="auto"/>
            </w:pPr>
            <w:r>
              <w:t>Event</w:t>
            </w:r>
          </w:p>
        </w:tc>
        <w:tc>
          <w:tcPr>
            <w:tcW w:w="709" w:type="dxa"/>
            <w:tcBorders>
              <w:top w:val="single" w:sz="4" w:space="0" w:color="auto"/>
              <w:bottom w:val="single" w:sz="4" w:space="0" w:color="auto"/>
            </w:tcBorders>
          </w:tcPr>
          <w:p w:rsidR="004C37F3" w:rsidRPr="00C04399" w:rsidRDefault="004C37F3" w:rsidP="004C37F3">
            <w:pPr>
              <w:spacing w:line="360" w:lineRule="auto"/>
              <w:rPr>
                <w:vertAlign w:val="superscript"/>
              </w:rPr>
            </w:pPr>
            <w:r>
              <w:t>N</w:t>
            </w:r>
            <w:r>
              <w:rPr>
                <w:vertAlign w:val="superscript"/>
              </w:rPr>
              <w:t>a</w:t>
            </w:r>
          </w:p>
        </w:tc>
        <w:tc>
          <w:tcPr>
            <w:tcW w:w="709" w:type="dxa"/>
            <w:tcBorders>
              <w:top w:val="single" w:sz="4" w:space="0" w:color="auto"/>
              <w:bottom w:val="single" w:sz="4" w:space="0" w:color="auto"/>
            </w:tcBorders>
          </w:tcPr>
          <w:p w:rsidR="004C37F3" w:rsidRPr="00C04399" w:rsidRDefault="004C37F3" w:rsidP="004C37F3">
            <w:pPr>
              <w:spacing w:line="360" w:lineRule="auto"/>
              <w:rPr>
                <w:vertAlign w:val="superscript"/>
              </w:rPr>
            </w:pPr>
            <w:proofErr w:type="spellStart"/>
            <w:r>
              <w:t>W</w:t>
            </w:r>
            <w:r>
              <w:rPr>
                <w:vertAlign w:val="superscript"/>
              </w:rPr>
              <w:t>b</w:t>
            </w:r>
            <w:proofErr w:type="spellEnd"/>
          </w:p>
        </w:tc>
        <w:tc>
          <w:tcPr>
            <w:tcW w:w="992" w:type="dxa"/>
            <w:tcBorders>
              <w:top w:val="single" w:sz="4" w:space="0" w:color="auto"/>
              <w:bottom w:val="single" w:sz="4" w:space="0" w:color="auto"/>
            </w:tcBorders>
          </w:tcPr>
          <w:p w:rsidR="004C37F3" w:rsidRDefault="004C37F3" w:rsidP="004C37F3">
            <w:pPr>
              <w:spacing w:line="360" w:lineRule="auto"/>
            </w:pPr>
            <w:r>
              <w:t>p-value</w:t>
            </w:r>
          </w:p>
        </w:tc>
      </w:tr>
      <w:tr w:rsidR="004C37F3" w:rsidTr="00140CD7">
        <w:tc>
          <w:tcPr>
            <w:tcW w:w="3085" w:type="dxa"/>
            <w:tcBorders>
              <w:top w:val="single" w:sz="4" w:space="0" w:color="auto"/>
            </w:tcBorders>
          </w:tcPr>
          <w:p w:rsidR="004C37F3" w:rsidRPr="00C04399" w:rsidRDefault="004C37F3" w:rsidP="004C37F3">
            <w:pPr>
              <w:spacing w:line="360" w:lineRule="auto"/>
              <w:rPr>
                <w:vertAlign w:val="superscript"/>
              </w:rPr>
            </w:pPr>
            <w:r>
              <w:t xml:space="preserve">Tag or biopsy – first </w:t>
            </w:r>
            <w:proofErr w:type="spellStart"/>
            <w:r>
              <w:t>attempt</w:t>
            </w:r>
            <w:r>
              <w:rPr>
                <w:vertAlign w:val="superscript"/>
              </w:rPr>
              <w:t>c</w:t>
            </w:r>
            <w:proofErr w:type="spellEnd"/>
          </w:p>
        </w:tc>
        <w:tc>
          <w:tcPr>
            <w:tcW w:w="709" w:type="dxa"/>
            <w:tcBorders>
              <w:top w:val="single" w:sz="4" w:space="0" w:color="auto"/>
            </w:tcBorders>
          </w:tcPr>
          <w:p w:rsidR="004C37F3" w:rsidRDefault="004C37F3" w:rsidP="004C37F3">
            <w:pPr>
              <w:spacing w:line="360" w:lineRule="auto"/>
            </w:pPr>
            <w:r>
              <w:t>30</w:t>
            </w:r>
          </w:p>
        </w:tc>
        <w:tc>
          <w:tcPr>
            <w:tcW w:w="709" w:type="dxa"/>
            <w:tcBorders>
              <w:top w:val="single" w:sz="4" w:space="0" w:color="auto"/>
            </w:tcBorders>
          </w:tcPr>
          <w:p w:rsidR="004C37F3" w:rsidRDefault="004C37F3" w:rsidP="004C37F3">
            <w:pPr>
              <w:spacing w:line="360" w:lineRule="auto"/>
            </w:pPr>
            <w:r>
              <w:t>506</w:t>
            </w:r>
          </w:p>
        </w:tc>
        <w:tc>
          <w:tcPr>
            <w:tcW w:w="992" w:type="dxa"/>
            <w:tcBorders>
              <w:top w:val="single" w:sz="4" w:space="0" w:color="auto"/>
            </w:tcBorders>
          </w:tcPr>
          <w:p w:rsidR="004C37F3" w:rsidRDefault="004C37F3" w:rsidP="004C37F3">
            <w:pPr>
              <w:spacing w:line="360" w:lineRule="auto"/>
            </w:pPr>
            <w:r>
              <w:t>0.4119</w:t>
            </w:r>
          </w:p>
        </w:tc>
      </w:tr>
      <w:tr w:rsidR="004C37F3" w:rsidTr="00140CD7">
        <w:tc>
          <w:tcPr>
            <w:tcW w:w="3085" w:type="dxa"/>
          </w:tcPr>
          <w:p w:rsidR="004C37F3" w:rsidRDefault="004C37F3" w:rsidP="004C37F3">
            <w:pPr>
              <w:spacing w:line="360" w:lineRule="auto"/>
            </w:pPr>
            <w:r>
              <w:t>Tag – first attempt</w:t>
            </w:r>
          </w:p>
        </w:tc>
        <w:tc>
          <w:tcPr>
            <w:tcW w:w="709" w:type="dxa"/>
          </w:tcPr>
          <w:p w:rsidR="004C37F3" w:rsidRDefault="004C37F3" w:rsidP="004C37F3">
            <w:pPr>
              <w:spacing w:line="360" w:lineRule="auto"/>
            </w:pPr>
            <w:r>
              <w:t>16</w:t>
            </w:r>
          </w:p>
        </w:tc>
        <w:tc>
          <w:tcPr>
            <w:tcW w:w="709" w:type="dxa"/>
          </w:tcPr>
          <w:p w:rsidR="004C37F3" w:rsidRDefault="004C37F3" w:rsidP="004C37F3">
            <w:pPr>
              <w:spacing w:line="360" w:lineRule="auto"/>
            </w:pPr>
            <w:r>
              <w:t>134</w:t>
            </w:r>
          </w:p>
        </w:tc>
        <w:tc>
          <w:tcPr>
            <w:tcW w:w="992" w:type="dxa"/>
          </w:tcPr>
          <w:p w:rsidR="004C37F3" w:rsidRDefault="004C37F3" w:rsidP="004C37F3">
            <w:pPr>
              <w:spacing w:line="360" w:lineRule="auto"/>
            </w:pPr>
            <w:r>
              <w:t>0.8358</w:t>
            </w:r>
          </w:p>
        </w:tc>
      </w:tr>
      <w:tr w:rsidR="004C37F3" w:rsidTr="00140CD7">
        <w:tc>
          <w:tcPr>
            <w:tcW w:w="3085" w:type="dxa"/>
          </w:tcPr>
          <w:p w:rsidR="004C37F3" w:rsidRDefault="004C37F3" w:rsidP="004C37F3">
            <w:pPr>
              <w:spacing w:line="360" w:lineRule="auto"/>
            </w:pPr>
            <w:r>
              <w:t>Tag – first hit</w:t>
            </w:r>
          </w:p>
        </w:tc>
        <w:tc>
          <w:tcPr>
            <w:tcW w:w="709" w:type="dxa"/>
          </w:tcPr>
          <w:p w:rsidR="004C37F3" w:rsidRDefault="004C37F3" w:rsidP="004C37F3">
            <w:pPr>
              <w:spacing w:line="360" w:lineRule="auto"/>
            </w:pPr>
            <w:r>
              <w:t>15</w:t>
            </w:r>
          </w:p>
        </w:tc>
        <w:tc>
          <w:tcPr>
            <w:tcW w:w="709" w:type="dxa"/>
          </w:tcPr>
          <w:p w:rsidR="004C37F3" w:rsidRDefault="004C37F3" w:rsidP="004C37F3">
            <w:pPr>
              <w:spacing w:line="360" w:lineRule="auto"/>
            </w:pPr>
            <w:r>
              <w:t>122</w:t>
            </w:r>
          </w:p>
        </w:tc>
        <w:tc>
          <w:tcPr>
            <w:tcW w:w="992" w:type="dxa"/>
          </w:tcPr>
          <w:p w:rsidR="004C37F3" w:rsidRDefault="004C37F3" w:rsidP="004C37F3">
            <w:pPr>
              <w:spacing w:line="360" w:lineRule="auto"/>
            </w:pPr>
            <w:r>
              <w:t>0.7089</w:t>
            </w:r>
          </w:p>
        </w:tc>
      </w:tr>
      <w:tr w:rsidR="004C37F3" w:rsidTr="00140CD7">
        <w:tc>
          <w:tcPr>
            <w:tcW w:w="3085" w:type="dxa"/>
          </w:tcPr>
          <w:p w:rsidR="004C37F3" w:rsidRDefault="004C37F3" w:rsidP="004C37F3">
            <w:pPr>
              <w:spacing w:line="360" w:lineRule="auto"/>
            </w:pPr>
            <w:r>
              <w:t>Biopsy – first attempt</w:t>
            </w:r>
          </w:p>
        </w:tc>
        <w:tc>
          <w:tcPr>
            <w:tcW w:w="709" w:type="dxa"/>
          </w:tcPr>
          <w:p w:rsidR="004C37F3" w:rsidRDefault="004C37F3" w:rsidP="004C37F3">
            <w:pPr>
              <w:spacing w:line="360" w:lineRule="auto"/>
            </w:pPr>
            <w:r>
              <w:t>26</w:t>
            </w:r>
          </w:p>
        </w:tc>
        <w:tc>
          <w:tcPr>
            <w:tcW w:w="709" w:type="dxa"/>
          </w:tcPr>
          <w:p w:rsidR="004C37F3" w:rsidRDefault="004C37F3" w:rsidP="004C37F3">
            <w:pPr>
              <w:spacing w:line="360" w:lineRule="auto"/>
            </w:pPr>
            <w:r>
              <w:t>379</w:t>
            </w:r>
          </w:p>
        </w:tc>
        <w:tc>
          <w:tcPr>
            <w:tcW w:w="992" w:type="dxa"/>
          </w:tcPr>
          <w:p w:rsidR="004C37F3" w:rsidRDefault="004C37F3" w:rsidP="004C37F3">
            <w:pPr>
              <w:spacing w:line="360" w:lineRule="auto"/>
            </w:pPr>
            <w:r>
              <w:t>0.4618</w:t>
            </w:r>
          </w:p>
        </w:tc>
      </w:tr>
      <w:tr w:rsidR="004C37F3" w:rsidTr="00140CD7">
        <w:tc>
          <w:tcPr>
            <w:tcW w:w="3085" w:type="dxa"/>
          </w:tcPr>
          <w:p w:rsidR="004C37F3" w:rsidRDefault="004C37F3" w:rsidP="004C37F3">
            <w:pPr>
              <w:spacing w:line="360" w:lineRule="auto"/>
            </w:pPr>
            <w:r>
              <w:t>Biopsy – first hit</w:t>
            </w:r>
          </w:p>
        </w:tc>
        <w:tc>
          <w:tcPr>
            <w:tcW w:w="709" w:type="dxa"/>
          </w:tcPr>
          <w:p w:rsidR="004C37F3" w:rsidRDefault="004C37F3" w:rsidP="004C37F3">
            <w:pPr>
              <w:spacing w:line="360" w:lineRule="auto"/>
            </w:pPr>
            <w:r>
              <w:t>24</w:t>
            </w:r>
          </w:p>
        </w:tc>
        <w:tc>
          <w:tcPr>
            <w:tcW w:w="709" w:type="dxa"/>
          </w:tcPr>
          <w:p w:rsidR="004C37F3" w:rsidRDefault="004C37F3" w:rsidP="004C3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t>329</w:t>
            </w:r>
          </w:p>
        </w:tc>
        <w:tc>
          <w:tcPr>
            <w:tcW w:w="992" w:type="dxa"/>
          </w:tcPr>
          <w:p w:rsidR="004C37F3" w:rsidRDefault="004C37F3" w:rsidP="004C37F3">
            <w:pPr>
              <w:spacing w:line="360" w:lineRule="auto"/>
            </w:pPr>
            <w:r>
              <w:t>0.4037</w:t>
            </w:r>
          </w:p>
        </w:tc>
      </w:tr>
    </w:tbl>
    <w:p w:rsidR="004C37F3" w:rsidRPr="00292B0A" w:rsidRDefault="004C37F3" w:rsidP="004C37F3">
      <w:pPr>
        <w:spacing w:line="360" w:lineRule="auto"/>
      </w:pPr>
    </w:p>
    <w:p w:rsidR="00C3692F" w:rsidRDefault="004C37F3" w:rsidP="004C37F3">
      <w:pPr>
        <w:spacing w:line="360" w:lineRule="auto"/>
      </w:pPr>
      <w:r>
        <w:t xml:space="preserve">Notes: </w:t>
      </w:r>
      <w:proofErr w:type="gramStart"/>
      <w:r>
        <w:rPr>
          <w:vertAlign w:val="superscript"/>
        </w:rPr>
        <w:t>a</w:t>
      </w:r>
      <w:proofErr w:type="gramEnd"/>
      <w:r>
        <w:rPr>
          <w:vertAlign w:val="superscript"/>
        </w:rPr>
        <w:t xml:space="preserve"> </w:t>
      </w:r>
      <w:r>
        <w:rPr>
          <w:i/>
        </w:rPr>
        <w:t>N</w:t>
      </w:r>
      <w:r>
        <w:t xml:space="preserve"> is the number of sampling attempts included for each comparison. </w:t>
      </w:r>
      <w:proofErr w:type="gramStart"/>
      <w:r>
        <w:rPr>
          <w:vertAlign w:val="superscript"/>
        </w:rPr>
        <w:t>b</w:t>
      </w:r>
      <w:proofErr w:type="gramEnd"/>
      <w:r>
        <w:rPr>
          <w:vertAlign w:val="superscript"/>
        </w:rPr>
        <w:t xml:space="preserve"> </w:t>
      </w:r>
      <w:r>
        <w:rPr>
          <w:i/>
        </w:rPr>
        <w:t>W</w:t>
      </w:r>
      <w:r>
        <w:t xml:space="preserve"> is the test statistic. </w:t>
      </w:r>
      <w:proofErr w:type="gramStart"/>
      <w:r>
        <w:rPr>
          <w:vertAlign w:val="superscript"/>
        </w:rPr>
        <w:t>c</w:t>
      </w:r>
      <w:proofErr w:type="gramEnd"/>
      <w:r>
        <w:rPr>
          <w:vertAlign w:val="superscript"/>
        </w:rPr>
        <w:t xml:space="preserve"> </w:t>
      </w:r>
      <w:r>
        <w:rPr>
          <w:i/>
        </w:rPr>
        <w:t>Tag or biopsy – first attempt</w:t>
      </w:r>
      <w:r>
        <w:t xml:space="preserve"> includes only the first attempt (regardless of whether it was a tag or biopsy attempt), hence it is not the sum of </w:t>
      </w:r>
      <w:r>
        <w:rPr>
          <w:i/>
        </w:rPr>
        <w:t>Tag – first attempt</w:t>
      </w:r>
      <w:r>
        <w:t xml:space="preserve"> and </w:t>
      </w:r>
      <w:r>
        <w:rPr>
          <w:i/>
        </w:rPr>
        <w:t>Biopsy – first attempt</w:t>
      </w:r>
      <w:r>
        <w:t>.</w:t>
      </w:r>
    </w:p>
    <w:p w:rsidR="003B4528" w:rsidRDefault="003B4528" w:rsidP="003B4528">
      <w:pPr>
        <w:pStyle w:val="ListParagraph"/>
        <w:numPr>
          <w:ilvl w:val="0"/>
          <w:numId w:val="1"/>
        </w:numPr>
        <w:spacing w:line="360" w:lineRule="auto"/>
      </w:pPr>
      <w:r w:rsidRPr="003B4528">
        <w:rPr>
          <w:rFonts w:ascii="Calibri" w:hAnsi="Calibri"/>
          <w:noProof/>
        </w:rPr>
        <w:t>Tezanos-Pinto G, Baker C (2012) Short-term reactions and long-term responses of bottlenose dolphins (</w:t>
      </w:r>
      <w:r w:rsidRPr="003B4528">
        <w:rPr>
          <w:rFonts w:ascii="Calibri" w:hAnsi="Calibri"/>
          <w:i/>
          <w:noProof/>
        </w:rPr>
        <w:t>Tursiops truncatus</w:t>
      </w:r>
      <w:r w:rsidRPr="003B4528">
        <w:rPr>
          <w:rFonts w:ascii="Calibri" w:hAnsi="Calibri"/>
          <w:noProof/>
        </w:rPr>
        <w:t>) to remote biopsy sampling. New Zeal J Mar Freshw Res 46: 13–29. doi:10.1080/00288330.2011.583256.</w:t>
      </w:r>
    </w:p>
    <w:sectPr w:rsidR="003B4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5037D"/>
    <w:multiLevelType w:val="hybridMultilevel"/>
    <w:tmpl w:val="059C8CDE"/>
    <w:lvl w:ilvl="0" w:tplc="6490404C">
      <w:start w:val="1"/>
      <w:numFmt w:val="decimal"/>
      <w:lvlText w:val="%1."/>
      <w:lvlJc w:val="left"/>
      <w:pPr>
        <w:ind w:left="720" w:hanging="360"/>
      </w:pPr>
      <w:rPr>
        <w:rFonts w:ascii="Calibri" w:hAnsi="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F3"/>
    <w:rsid w:val="002F084D"/>
    <w:rsid w:val="003B4528"/>
    <w:rsid w:val="004C37F3"/>
    <w:rsid w:val="00C369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 Reisinger</dc:creator>
  <cp:lastModifiedBy>Ryan R Reisinger</cp:lastModifiedBy>
  <cp:revision>3</cp:revision>
  <dcterms:created xsi:type="dcterms:W3CDTF">2014-10-10T12:45:00Z</dcterms:created>
  <dcterms:modified xsi:type="dcterms:W3CDTF">2014-10-14T05:26:00Z</dcterms:modified>
</cp:coreProperties>
</file>