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916"/>
        <w:tblW w:w="0" w:type="auto"/>
        <w:tblLook w:val="04A0"/>
      </w:tblPr>
      <w:tblGrid>
        <w:gridCol w:w="2178"/>
        <w:gridCol w:w="1800"/>
        <w:gridCol w:w="1890"/>
        <w:gridCol w:w="1792"/>
      </w:tblGrid>
      <w:tr w:rsidR="001D7B6C" w:rsidRPr="001D7B6C" w:rsidTr="001D7B6C">
        <w:tc>
          <w:tcPr>
            <w:tcW w:w="2178" w:type="dxa"/>
            <w:tcBorders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Host uptake flux</w:t>
            </w:r>
          </w:p>
        </w:tc>
      </w:tr>
      <w:tr w:rsidR="001D7B6C" w:rsidRPr="001D7B6C" w:rsidTr="001D7B6C"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Acetate</w:t>
            </w:r>
          </w:p>
        </w:tc>
        <w:tc>
          <w:tcPr>
            <w:tcW w:w="1890" w:type="dxa"/>
            <w:tcBorders>
              <w:left w:val="nil"/>
              <w:bottom w:val="single" w:sz="4" w:space="0" w:color="auto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Propionate</w:t>
            </w:r>
          </w:p>
        </w:tc>
        <w:tc>
          <w:tcPr>
            <w:tcW w:w="1792" w:type="dxa"/>
            <w:tcBorders>
              <w:left w:val="nil"/>
              <w:bottom w:val="single" w:sz="4" w:space="0" w:color="auto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Butyrate</w:t>
            </w:r>
          </w:p>
        </w:tc>
      </w:tr>
      <w:tr w:rsidR="001D7B6C" w:rsidRPr="001D7B6C" w:rsidTr="001D7B6C">
        <w:tc>
          <w:tcPr>
            <w:tcW w:w="2178" w:type="dxa"/>
            <w:tcBorders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i/>
                <w:sz w:val="24"/>
                <w:szCs w:val="24"/>
              </w:rPr>
              <w:t>SCFA transport</w:t>
            </w: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6C" w:rsidRPr="001D7B6C" w:rsidTr="001D7B6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Mct-1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1D7B6C" w:rsidRPr="001D7B6C" w:rsidTr="001D7B6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Smct-1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1D7B6C" w:rsidRPr="001D7B6C" w:rsidTr="001D7B6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6C" w:rsidRPr="001D7B6C" w:rsidTr="001D7B6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D7B6C">
              <w:rPr>
                <w:rFonts w:ascii="Times New Roman" w:hAnsi="Times New Roman" w:cs="Times New Roman"/>
                <w:i/>
                <w:sz w:val="24"/>
                <w:szCs w:val="24"/>
              </w:rPr>
              <w:t>Gluconeogenesis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6C" w:rsidRPr="001D7B6C" w:rsidTr="001D7B6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Pepck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p&lt;0.05 r=-0.590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p&lt;0.05 r=-0.592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p&lt;0.05 r=-0.581</w:t>
            </w:r>
          </w:p>
        </w:tc>
      </w:tr>
      <w:tr w:rsidR="001D7B6C" w:rsidRPr="001D7B6C" w:rsidTr="001D7B6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G6Pase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p&lt;0.05 r=-0.666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p&lt;0.05 r=-0.630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p&lt;0.05 r=-0.660</w:t>
            </w:r>
          </w:p>
        </w:tc>
      </w:tr>
      <w:tr w:rsidR="001D7B6C" w:rsidRPr="001D7B6C" w:rsidTr="001D7B6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PC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p&lt;0.05 r=-0.449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p&lt;0.05 r=-0.420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p&lt;0.05 r=-0.444</w:t>
            </w:r>
          </w:p>
        </w:tc>
      </w:tr>
      <w:tr w:rsidR="001D7B6C" w:rsidRPr="001D7B6C" w:rsidTr="001D7B6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6C" w:rsidRPr="001D7B6C" w:rsidTr="001D7B6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D7B6C">
              <w:rPr>
                <w:rFonts w:ascii="Times New Roman" w:hAnsi="Times New Roman" w:cs="Times New Roman"/>
                <w:i/>
                <w:sz w:val="24"/>
                <w:szCs w:val="24"/>
              </w:rPr>
              <w:t>Glycolysis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6C" w:rsidRPr="001D7B6C" w:rsidTr="001D7B6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HK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p&lt;0.05 r=0.618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p&lt;0.05 r=0.634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p&lt;0.05 r=0.629</w:t>
            </w:r>
          </w:p>
        </w:tc>
      </w:tr>
      <w:tr w:rsidR="001D7B6C" w:rsidRPr="001D7B6C" w:rsidTr="001D7B6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p&lt;0.05 r=0.523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p&lt;0.05 r=0.553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p&lt;0.05 r=0.534</w:t>
            </w:r>
          </w:p>
        </w:tc>
      </w:tr>
      <w:tr w:rsidR="001D7B6C" w:rsidRPr="001D7B6C" w:rsidTr="001D7B6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6C" w:rsidRPr="001D7B6C" w:rsidTr="001D7B6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i/>
                <w:sz w:val="24"/>
                <w:szCs w:val="24"/>
              </w:rPr>
              <w:t>Fatty acid synthesis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6C" w:rsidRPr="001D7B6C" w:rsidTr="001D7B6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Fasn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p&lt;0.05 r=-0.558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p&lt;0.05 r=-0.521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p&lt;0.05 r=-0.574</w:t>
            </w:r>
          </w:p>
        </w:tc>
      </w:tr>
      <w:tr w:rsidR="001D7B6C" w:rsidRPr="001D7B6C" w:rsidTr="001D7B6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Acc1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p&lt;0.05 r=-0.483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p&lt;0.05 r=-0.446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p&lt;0.05 r=-0.473</w:t>
            </w:r>
          </w:p>
        </w:tc>
      </w:tr>
      <w:tr w:rsidR="001D7B6C" w:rsidRPr="001D7B6C" w:rsidTr="001D7B6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Acc2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p&lt;0.05 r=-0.516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p&lt;0.05 r=-0.538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p&lt;0.05 r=-0.542</w:t>
            </w:r>
          </w:p>
        </w:tc>
      </w:tr>
      <w:tr w:rsidR="001D7B6C" w:rsidRPr="001D7B6C" w:rsidTr="001D7B6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Elovl6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p&lt;0.05 r=-0.431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p&lt;0.05 r=-0.411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p&lt;0.05 r=-0.439</w:t>
            </w:r>
          </w:p>
        </w:tc>
      </w:tr>
      <w:tr w:rsidR="001D7B6C" w:rsidRPr="001D7B6C" w:rsidTr="001D7B6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7B6C" w:rsidRPr="001D7B6C" w:rsidTr="001D7B6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i/>
                <w:sz w:val="24"/>
                <w:szCs w:val="24"/>
              </w:rPr>
              <w:t>Fatty acid oxidation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D7B6C" w:rsidRPr="001D7B6C" w:rsidTr="001D7B6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Cpt-1a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1D7B6C" w:rsidRPr="001D7B6C" w:rsidTr="001D7B6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Mcad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1D7B6C" w:rsidRPr="001D7B6C" w:rsidTr="001D7B6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Lcad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1D7B6C" w:rsidRPr="001D7B6C" w:rsidTr="001D7B6C">
        <w:tc>
          <w:tcPr>
            <w:tcW w:w="2178" w:type="dxa"/>
            <w:tcBorders>
              <w:top w:val="nil"/>
              <w:left w:val="nil"/>
              <w:right w:val="nil"/>
            </w:tcBorders>
          </w:tcPr>
          <w:p w:rsidR="001D7B6C" w:rsidRPr="001D7B6C" w:rsidRDefault="001D7B6C" w:rsidP="001D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Aox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792" w:type="dxa"/>
            <w:tcBorders>
              <w:top w:val="nil"/>
              <w:left w:val="nil"/>
              <w:right w:val="nil"/>
            </w:tcBorders>
          </w:tcPr>
          <w:p w:rsidR="001D7B6C" w:rsidRPr="001D7B6C" w:rsidRDefault="001D7B6C" w:rsidP="001D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B6C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</w:tbl>
    <w:p w:rsidR="001D7B6C" w:rsidRPr="001D7B6C" w:rsidRDefault="001D7B6C" w:rsidP="001D7B6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B6C">
        <w:rPr>
          <w:rFonts w:ascii="Times New Roman" w:hAnsi="Times New Roman" w:cs="Times New Roman"/>
          <w:b/>
          <w:sz w:val="24"/>
          <w:szCs w:val="24"/>
        </w:rPr>
        <w:t>Table S2.</w:t>
      </w:r>
      <w:r w:rsidRPr="001D7B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7B6C">
        <w:rPr>
          <w:rFonts w:ascii="Times New Roman" w:hAnsi="Times New Roman" w:cs="Times New Roman"/>
          <w:sz w:val="24"/>
          <w:szCs w:val="24"/>
        </w:rPr>
        <w:t xml:space="preserve">Correlation of acetate, propionate and butyrate host uptake fluxes with genes involved in SCFA transport, </w:t>
      </w:r>
      <w:proofErr w:type="spellStart"/>
      <w:r w:rsidRPr="001D7B6C">
        <w:rPr>
          <w:rFonts w:ascii="Times New Roman" w:hAnsi="Times New Roman" w:cs="Times New Roman"/>
          <w:sz w:val="24"/>
          <w:szCs w:val="24"/>
        </w:rPr>
        <w:t>gluconeogenesis</w:t>
      </w:r>
      <w:proofErr w:type="spellEnd"/>
      <w:r w:rsidRPr="001D7B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7B6C">
        <w:rPr>
          <w:rFonts w:ascii="Times New Roman" w:hAnsi="Times New Roman" w:cs="Times New Roman"/>
          <w:sz w:val="24"/>
          <w:szCs w:val="24"/>
        </w:rPr>
        <w:t>glycolysis</w:t>
      </w:r>
      <w:proofErr w:type="spellEnd"/>
      <w:r w:rsidRPr="001D7B6C">
        <w:rPr>
          <w:rFonts w:ascii="Times New Roman" w:hAnsi="Times New Roman" w:cs="Times New Roman"/>
          <w:sz w:val="24"/>
          <w:szCs w:val="24"/>
        </w:rPr>
        <w:t>, fatty acid synthesis and fatty acid oxidation.</w:t>
      </w:r>
      <w:proofErr w:type="gramEnd"/>
      <w:r w:rsidRPr="001D7B6C">
        <w:rPr>
          <w:rFonts w:ascii="Times New Roman" w:hAnsi="Times New Roman" w:cs="Times New Roman"/>
          <w:sz w:val="24"/>
          <w:szCs w:val="24"/>
        </w:rPr>
        <w:t xml:space="preserve"> The Spearman’s correlation coefficient was calculated and the significance level was set at p&lt;0.05.</w:t>
      </w:r>
    </w:p>
    <w:p w:rsidR="004A53AD" w:rsidRPr="001D7B6C" w:rsidRDefault="001D7B6C"/>
    <w:p w:rsidR="001D7B6C" w:rsidRPr="001D7B6C" w:rsidRDefault="001D7B6C"/>
    <w:p w:rsidR="001D7B6C" w:rsidRPr="001D7B6C" w:rsidRDefault="001D7B6C"/>
    <w:p w:rsidR="001D7B6C" w:rsidRPr="001D7B6C" w:rsidRDefault="001D7B6C"/>
    <w:p w:rsidR="001D7B6C" w:rsidRPr="001D7B6C" w:rsidRDefault="001D7B6C"/>
    <w:p w:rsidR="001D7B6C" w:rsidRPr="001D7B6C" w:rsidRDefault="001D7B6C"/>
    <w:p w:rsidR="001D7B6C" w:rsidRPr="001D7B6C" w:rsidRDefault="001D7B6C"/>
    <w:p w:rsidR="001D7B6C" w:rsidRPr="001D7B6C" w:rsidRDefault="001D7B6C"/>
    <w:p w:rsidR="001D7B6C" w:rsidRPr="001D7B6C" w:rsidRDefault="001D7B6C"/>
    <w:p w:rsidR="001D7B6C" w:rsidRPr="001D7B6C" w:rsidRDefault="001D7B6C"/>
    <w:p w:rsidR="001D7B6C" w:rsidRPr="001D7B6C" w:rsidRDefault="001D7B6C"/>
    <w:p w:rsidR="001D7B6C" w:rsidRPr="001D7B6C" w:rsidRDefault="001D7B6C"/>
    <w:p w:rsidR="001D7B6C" w:rsidRPr="001D7B6C" w:rsidRDefault="001D7B6C"/>
    <w:p w:rsidR="001D7B6C" w:rsidRPr="001D7B6C" w:rsidRDefault="001D7B6C"/>
    <w:p w:rsidR="001D7B6C" w:rsidRPr="001D7B6C" w:rsidRDefault="001D7B6C"/>
    <w:p w:rsidR="001D7B6C" w:rsidRPr="001D7B6C" w:rsidRDefault="001D7B6C" w:rsidP="001D7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7B6C">
        <w:rPr>
          <w:rFonts w:ascii="Times New Roman" w:hAnsi="Times New Roman" w:cs="Times New Roman"/>
          <w:sz w:val="20"/>
          <w:szCs w:val="24"/>
        </w:rPr>
        <w:t>NS, not significant.</w:t>
      </w:r>
      <w:proofErr w:type="gramEnd"/>
    </w:p>
    <w:p w:rsidR="001D7B6C" w:rsidRPr="001D7B6C" w:rsidRDefault="001D7B6C"/>
    <w:sectPr w:rsidR="001D7B6C" w:rsidRPr="001D7B6C" w:rsidSect="00DA6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B6C"/>
    <w:rsid w:val="000E2DC6"/>
    <w:rsid w:val="001D7B6C"/>
    <w:rsid w:val="008E35A9"/>
    <w:rsid w:val="00A8563A"/>
    <w:rsid w:val="00AD36DE"/>
    <w:rsid w:val="00DA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6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B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907</Characters>
  <Application>Microsoft Office Word</Application>
  <DocSecurity>0</DocSecurity>
  <Lines>17</Lines>
  <Paragraphs>6</Paragraphs>
  <ScaleCrop>false</ScaleCrop>
  <Company>GlaxoSmithKline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Gijs den Besten</dc:creator>
  <cp:lastModifiedBy>Gijs den Besten</cp:lastModifiedBy>
  <cp:revision>1</cp:revision>
  <dcterms:created xsi:type="dcterms:W3CDTF">2014-08-20T05:32:00Z</dcterms:created>
  <dcterms:modified xsi:type="dcterms:W3CDTF">2014-08-20T05:33:00Z</dcterms:modified>
</cp:coreProperties>
</file>