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05" w:rsidRDefault="0009412A" w:rsidP="005A2E05"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5A2E05" w:rsidRPr="002B6FA7">
        <w:rPr>
          <w:rFonts w:ascii="Times New Roman" w:hAnsi="Times New Roman" w:cs="Times New Roman"/>
          <w:b/>
          <w:sz w:val="24"/>
          <w:szCs w:val="24"/>
        </w:rPr>
        <w:t>:</w:t>
      </w:r>
      <w:r w:rsidR="005A2E05">
        <w:rPr>
          <w:rFonts w:ascii="Times New Roman" w:hAnsi="Times New Roman" w:cs="Times New Roman"/>
          <w:sz w:val="24"/>
          <w:szCs w:val="24"/>
        </w:rPr>
        <w:t xml:space="preserve"> </w:t>
      </w:r>
      <w:r w:rsidR="0036169F">
        <w:rPr>
          <w:rFonts w:ascii="Times New Roman" w:hAnsi="Times New Roman" w:cs="Times New Roman"/>
          <w:b/>
          <w:sz w:val="24"/>
          <w:szCs w:val="24"/>
        </w:rPr>
        <w:t xml:space="preserve">Data verification and description of data inconsistencies. </w:t>
      </w:r>
      <w:r w:rsidR="005A2E05" w:rsidRPr="0036169F">
        <w:rPr>
          <w:rFonts w:ascii="Times New Roman" w:hAnsi="Times New Roman" w:cs="Times New Roman"/>
          <w:sz w:val="24"/>
          <w:szCs w:val="24"/>
        </w:rPr>
        <w:t xml:space="preserve">Discrepancies (72 out of 498 species) between the maximum sizes on </w:t>
      </w:r>
      <w:proofErr w:type="spellStart"/>
      <w:r w:rsidR="005A2E05" w:rsidRPr="0036169F">
        <w:rPr>
          <w:rFonts w:ascii="Times New Roman" w:hAnsi="Times New Roman" w:cs="Times New Roman"/>
          <w:sz w:val="24"/>
          <w:szCs w:val="24"/>
        </w:rPr>
        <w:t>FishBase</w:t>
      </w:r>
      <w:proofErr w:type="spellEnd"/>
      <w:r w:rsidR="005A2E05" w:rsidRPr="0036169F">
        <w:rPr>
          <w:rFonts w:ascii="Times New Roman" w:hAnsi="Times New Roman" w:cs="Times New Roman"/>
          <w:sz w:val="24"/>
          <w:szCs w:val="24"/>
        </w:rPr>
        <w:t xml:space="preserve"> and maximum sizes in the original literature</w:t>
      </w:r>
      <w:r w:rsidR="005A2E05">
        <w:rPr>
          <w:rFonts w:ascii="Times New Roman" w:hAnsi="Times New Roman" w:cs="Times New Roman"/>
          <w:sz w:val="24"/>
          <w:szCs w:val="24"/>
        </w:rPr>
        <w:t xml:space="preserve">. All body size not reported here were cited from </w:t>
      </w:r>
      <w:r w:rsidR="005A2E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C</w:t>
      </w:r>
      <w:r w:rsidR="005A2E05" w:rsidRPr="0031464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hecklist of </w:t>
      </w:r>
      <w:r w:rsidR="005A2E0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Freshwater Fishes of South and Central America</w:t>
      </w:r>
      <w:r w:rsidR="005A2E05" w:rsidRPr="0031464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A2E05" w:rsidRPr="00314641">
        <w:rPr>
          <w:rFonts w:ascii="Times New Roman" w:hAnsi="Times New Roman" w:cs="Times New Roman"/>
          <w:sz w:val="24"/>
          <w:szCs w:val="24"/>
        </w:rPr>
        <w:t>(</w:t>
      </w:r>
      <w:r w:rsidR="005A2E05">
        <w:rPr>
          <w:rFonts w:ascii="Times New Roman" w:hAnsi="Times New Roman" w:cs="Times New Roman"/>
          <w:sz w:val="24"/>
          <w:szCs w:val="24"/>
        </w:rPr>
        <w:t xml:space="preserve">CLOFFSCA, </w:t>
      </w:r>
      <w:r w:rsidR="005A2E05" w:rsidRPr="00314641">
        <w:rPr>
          <w:rFonts w:ascii="Times New Roman" w:hAnsi="Times New Roman" w:cs="Times New Roman"/>
          <w:sz w:val="24"/>
          <w:szCs w:val="24"/>
        </w:rPr>
        <w:t>Reis et al. 2003)</w:t>
      </w:r>
      <w:r w:rsidR="005A2E05">
        <w:rPr>
          <w:rFonts w:ascii="Times New Roman" w:hAnsi="Times New Roman" w:cs="Times New Roman"/>
          <w:sz w:val="24"/>
          <w:szCs w:val="24"/>
        </w:rPr>
        <w:t xml:space="preserve"> and no </w:t>
      </w:r>
      <w:proofErr w:type="spellStart"/>
      <w:r w:rsidR="005A2E05">
        <w:rPr>
          <w:rFonts w:ascii="Times New Roman" w:hAnsi="Times New Roman" w:cs="Times New Roman"/>
          <w:sz w:val="24"/>
          <w:szCs w:val="24"/>
        </w:rPr>
        <w:t>discrepencies</w:t>
      </w:r>
      <w:proofErr w:type="spellEnd"/>
      <w:r w:rsidR="005A2E05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 w:rsidR="005A2E05">
        <w:rPr>
          <w:rFonts w:ascii="Times New Roman" w:hAnsi="Times New Roman" w:cs="Times New Roman"/>
          <w:sz w:val="24"/>
          <w:szCs w:val="24"/>
        </w:rPr>
        <w:t>FishBase</w:t>
      </w:r>
      <w:proofErr w:type="spellEnd"/>
      <w:r w:rsidR="005A2E05">
        <w:rPr>
          <w:rFonts w:ascii="Times New Roman" w:hAnsi="Times New Roman" w:cs="Times New Roman"/>
          <w:sz w:val="24"/>
          <w:szCs w:val="24"/>
        </w:rPr>
        <w:t xml:space="preserve"> and CLOFFSCA were found. Only 6</w:t>
      </w:r>
      <w:r w:rsidR="005A2E05" w:rsidRPr="00314641">
        <w:rPr>
          <w:rFonts w:ascii="Times New Roman" w:hAnsi="Times New Roman" w:cs="Times New Roman"/>
          <w:sz w:val="24"/>
          <w:szCs w:val="24"/>
        </w:rPr>
        <w:t xml:space="preserve"> cases </w:t>
      </w:r>
      <w:r w:rsidR="005A2E05">
        <w:rPr>
          <w:rFonts w:ascii="Times New Roman" w:hAnsi="Times New Roman" w:cs="Times New Roman"/>
          <w:sz w:val="24"/>
          <w:szCs w:val="24"/>
        </w:rPr>
        <w:t xml:space="preserve">(in bold) </w:t>
      </w:r>
      <w:r w:rsidR="005A2E05" w:rsidRPr="00314641">
        <w:rPr>
          <w:rFonts w:ascii="Times New Roman" w:hAnsi="Times New Roman" w:cs="Times New Roman"/>
          <w:sz w:val="24"/>
          <w:szCs w:val="24"/>
        </w:rPr>
        <w:t>were found where a clear error in the max</w:t>
      </w:r>
      <w:r w:rsidR="005A2E05">
        <w:rPr>
          <w:rFonts w:ascii="Times New Roman" w:hAnsi="Times New Roman" w:cs="Times New Roman"/>
          <w:sz w:val="24"/>
          <w:szCs w:val="24"/>
        </w:rPr>
        <w:t xml:space="preserve">imum body size was recorded on </w:t>
      </w:r>
      <w:proofErr w:type="spellStart"/>
      <w:r w:rsidR="005A2E05">
        <w:rPr>
          <w:rFonts w:ascii="Times New Roman" w:hAnsi="Times New Roman" w:cs="Times New Roman"/>
          <w:sz w:val="24"/>
          <w:szCs w:val="24"/>
        </w:rPr>
        <w:t>FishBase</w:t>
      </w:r>
      <w:proofErr w:type="spellEnd"/>
      <w:r w:rsidR="005A2E05">
        <w:rPr>
          <w:rFonts w:ascii="Times New Roman" w:hAnsi="Times New Roman" w:cs="Times New Roman"/>
          <w:sz w:val="24"/>
          <w:szCs w:val="24"/>
        </w:rPr>
        <w:t>.</w:t>
      </w:r>
      <w:r w:rsidR="005A2E05" w:rsidRPr="000B0541">
        <w:rPr>
          <w:rFonts w:ascii="Times New Roman" w:hAnsi="Times New Roman" w:cs="Times New Roman"/>
          <w:sz w:val="24"/>
          <w:szCs w:val="24"/>
        </w:rPr>
        <w:t xml:space="preserve"> </w:t>
      </w:r>
      <w:r w:rsidR="005A2E05">
        <w:rPr>
          <w:rFonts w:ascii="Times New Roman" w:hAnsi="Times New Roman" w:cs="Times New Roman"/>
          <w:sz w:val="24"/>
          <w:szCs w:val="24"/>
        </w:rPr>
        <w:t xml:space="preserve">Results were unchanged when analyses were rerun with corrected data. Other uncertainties in the data were due to </w:t>
      </w:r>
      <w:r w:rsidR="005A2E05" w:rsidRPr="00314641">
        <w:rPr>
          <w:rFonts w:ascii="Times New Roman" w:hAnsi="Times New Roman" w:cs="Times New Roman"/>
          <w:sz w:val="24"/>
          <w:szCs w:val="24"/>
        </w:rPr>
        <w:t>inabilit</w:t>
      </w:r>
      <w:r w:rsidR="005A2E05">
        <w:rPr>
          <w:rFonts w:ascii="Times New Roman" w:hAnsi="Times New Roman" w:cs="Times New Roman"/>
          <w:sz w:val="24"/>
          <w:szCs w:val="24"/>
        </w:rPr>
        <w:t xml:space="preserve">y to access the original source provided on </w:t>
      </w:r>
      <w:proofErr w:type="spellStart"/>
      <w:r w:rsidR="005A2E05">
        <w:rPr>
          <w:rFonts w:ascii="Times New Roman" w:hAnsi="Times New Roman" w:cs="Times New Roman"/>
          <w:sz w:val="24"/>
          <w:szCs w:val="24"/>
        </w:rPr>
        <w:t>FishBase</w:t>
      </w:r>
      <w:proofErr w:type="spellEnd"/>
      <w:r w:rsidR="005A2E05">
        <w:rPr>
          <w:rFonts w:ascii="Times New Roman" w:hAnsi="Times New Roman" w:cs="Times New Roman"/>
          <w:sz w:val="24"/>
          <w:szCs w:val="24"/>
        </w:rPr>
        <w:t xml:space="preserve"> (Unavailable source), female lengths </w:t>
      </w:r>
      <w:r w:rsidR="005A2E05" w:rsidRPr="00314641">
        <w:rPr>
          <w:rFonts w:ascii="Times New Roman" w:hAnsi="Times New Roman" w:cs="Times New Roman"/>
          <w:sz w:val="24"/>
          <w:szCs w:val="24"/>
        </w:rPr>
        <w:t>without a direct reference and likely from various ecological or life history studies cited for each species</w:t>
      </w:r>
      <w:r w:rsidR="005A2E0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A2E05">
        <w:rPr>
          <w:rFonts w:ascii="Times New Roman" w:hAnsi="Times New Roman" w:cs="Times New Roman"/>
          <w:sz w:val="24"/>
          <w:szCs w:val="24"/>
        </w:rPr>
        <w:t>FishBase</w:t>
      </w:r>
      <w:proofErr w:type="spellEnd"/>
      <w:r w:rsidR="005A2E05">
        <w:rPr>
          <w:rFonts w:ascii="Times New Roman" w:hAnsi="Times New Roman" w:cs="Times New Roman"/>
          <w:sz w:val="24"/>
          <w:szCs w:val="24"/>
        </w:rPr>
        <w:t xml:space="preserve"> (Length of female specimen, uncited) or data was collected from angling records. For full citations see </w:t>
      </w:r>
      <w:proofErr w:type="spellStart"/>
      <w:r w:rsidR="005A2E05">
        <w:rPr>
          <w:rFonts w:ascii="Times New Roman" w:hAnsi="Times New Roman" w:cs="Times New Roman"/>
          <w:sz w:val="24"/>
          <w:szCs w:val="24"/>
        </w:rPr>
        <w:t>FishBase</w:t>
      </w:r>
      <w:proofErr w:type="spellEnd"/>
      <w:r w:rsidR="005A2E0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2"/>
        <w:gridCol w:w="996"/>
        <w:gridCol w:w="994"/>
        <w:gridCol w:w="3121"/>
        <w:gridCol w:w="1417"/>
      </w:tblGrid>
      <w:tr w:rsidR="005A2E05" w:rsidRPr="00AA7977" w:rsidTr="00BC2612">
        <w:trPr>
          <w:trHeight w:val="300"/>
          <w:jc w:val="center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Species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2E05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Fishbase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CLOFFSCA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Note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A2E05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Size Used</w:t>
            </w:r>
          </w:p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(App S1)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tcBorders>
              <w:top w:val="single" w:sz="4" w:space="0" w:color="auto"/>
            </w:tcBorders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Aequidens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biseriatus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</w:tcBorders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120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80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tcBorders>
              <w:top w:val="single" w:sz="4" w:space="0" w:color="auto"/>
            </w:tcBorders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alacrina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55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sz w:val="20"/>
                <w:szCs w:val="20"/>
                <w:vertAlign w:val="superscript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angayuara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25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sz w:val="20"/>
                <w:szCs w:val="20"/>
                <w:vertAlign w:val="superscript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baenschi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53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sz w:val="20"/>
                <w:szCs w:val="20"/>
                <w:vertAlign w:val="superscript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caetei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36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diplotaenia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45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29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gephyra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33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33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gibbiceps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45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45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gossei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44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44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hippolytae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34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34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hongsloi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34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34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iniridae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36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36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meinkeni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45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35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35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ortmanni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55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41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41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pertensis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45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39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39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pleurotaenia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28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28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resticulosa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38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27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27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rupununi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38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38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staecki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21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21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steindachneri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70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65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65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trifasciata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46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38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38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uaupesi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60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28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28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Apistogramma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viejita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46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30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Archocentrus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multispinosus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170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sz w:val="20"/>
                <w:szCs w:val="20"/>
                <w:vertAlign w:val="superscript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Astronotus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ocellatus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457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sz w:val="20"/>
                <w:szCs w:val="20"/>
                <w:vertAlign w:val="superscript"/>
              </w:rPr>
            </w:pPr>
            <w:r w:rsidRPr="00AA7977">
              <w:rPr>
                <w:sz w:val="20"/>
                <w:szCs w:val="20"/>
              </w:rPr>
              <w:t>Angling record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410C3B" w:rsidRDefault="005A2E05" w:rsidP="00BC2612">
            <w:pPr>
              <w:rPr>
                <w:b/>
                <w:sz w:val="20"/>
                <w:szCs w:val="20"/>
              </w:rPr>
            </w:pPr>
            <w:proofErr w:type="spellStart"/>
            <w:r w:rsidRPr="00410C3B">
              <w:rPr>
                <w:b/>
                <w:sz w:val="20"/>
                <w:szCs w:val="20"/>
              </w:rPr>
              <w:t>Australoheros</w:t>
            </w:r>
            <w:proofErr w:type="spellEnd"/>
            <w:r w:rsidRPr="00410C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0C3B">
              <w:rPr>
                <w:b/>
                <w:sz w:val="20"/>
                <w:szCs w:val="20"/>
              </w:rPr>
              <w:t>capixaba</w:t>
            </w:r>
            <w:proofErr w:type="spellEnd"/>
            <w:r w:rsidRPr="00410C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31" w:type="pct"/>
            <w:noWrap/>
            <w:hideMark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410C3B" w:rsidRDefault="005A2E05" w:rsidP="00BC2612">
            <w:pPr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Holotype reported, rather than largest specimen at 120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  <w:r w:rsidRPr="00410C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noWrap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410C3B" w:rsidRDefault="005A2E05" w:rsidP="00BC2612">
            <w:pPr>
              <w:rPr>
                <w:b/>
                <w:sz w:val="20"/>
                <w:szCs w:val="20"/>
              </w:rPr>
            </w:pPr>
            <w:proofErr w:type="spellStart"/>
            <w:r w:rsidRPr="00410C3B">
              <w:rPr>
                <w:b/>
                <w:sz w:val="20"/>
                <w:szCs w:val="20"/>
              </w:rPr>
              <w:t>Australoheros</w:t>
            </w:r>
            <w:proofErr w:type="spellEnd"/>
            <w:r w:rsidRPr="00410C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0C3B">
              <w:rPr>
                <w:b/>
                <w:sz w:val="20"/>
                <w:szCs w:val="20"/>
              </w:rPr>
              <w:t>forquilha</w:t>
            </w:r>
            <w:proofErr w:type="spellEnd"/>
            <w:r w:rsidRPr="00410C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31" w:type="pct"/>
            <w:noWrap/>
            <w:hideMark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410C3B" w:rsidRDefault="005A2E05" w:rsidP="00BC2612">
            <w:pPr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Holotype reported, rather than largest specimen at 130</w:t>
            </w:r>
            <w:r>
              <w:rPr>
                <w:b/>
                <w:sz w:val="20"/>
                <w:szCs w:val="20"/>
                <w:vertAlign w:val="superscript"/>
              </w:rPr>
              <w:t>7</w:t>
            </w:r>
            <w:r w:rsidRPr="00410C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noWrap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Australoheros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kaaygua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94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410C3B" w:rsidRDefault="005A2E05" w:rsidP="00BC2612">
            <w:pPr>
              <w:rPr>
                <w:b/>
                <w:sz w:val="20"/>
                <w:szCs w:val="20"/>
              </w:rPr>
            </w:pPr>
            <w:proofErr w:type="spellStart"/>
            <w:r w:rsidRPr="00410C3B">
              <w:rPr>
                <w:b/>
                <w:sz w:val="20"/>
                <w:szCs w:val="20"/>
              </w:rPr>
              <w:lastRenderedPageBreak/>
              <w:t>Australoheros</w:t>
            </w:r>
            <w:proofErr w:type="spellEnd"/>
            <w:r w:rsidRPr="00410C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0C3B">
              <w:rPr>
                <w:b/>
                <w:sz w:val="20"/>
                <w:szCs w:val="20"/>
              </w:rPr>
              <w:t>paraibae</w:t>
            </w:r>
            <w:proofErr w:type="spellEnd"/>
            <w:r w:rsidRPr="00410C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31" w:type="pct"/>
            <w:noWrap/>
            <w:hideMark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b/>
                <w:sz w:val="20"/>
                <w:szCs w:val="20"/>
                <w:vertAlign w:val="superscript"/>
              </w:rPr>
            </w:pPr>
            <w:r w:rsidRPr="00410C3B">
              <w:rPr>
                <w:b/>
                <w:sz w:val="20"/>
                <w:szCs w:val="20"/>
              </w:rPr>
              <w:t>More recent source, largest specimen 71</w:t>
            </w:r>
            <w:r>
              <w:rPr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57" w:type="pct"/>
            <w:noWrap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410C3B" w:rsidRDefault="005A2E05" w:rsidP="00BC2612">
            <w:pPr>
              <w:rPr>
                <w:b/>
                <w:sz w:val="20"/>
                <w:szCs w:val="20"/>
              </w:rPr>
            </w:pPr>
            <w:proofErr w:type="spellStart"/>
            <w:r w:rsidRPr="00410C3B">
              <w:rPr>
                <w:b/>
                <w:sz w:val="20"/>
                <w:szCs w:val="20"/>
              </w:rPr>
              <w:t>Australoheros</w:t>
            </w:r>
            <w:proofErr w:type="spellEnd"/>
            <w:r w:rsidRPr="00410C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0C3B">
              <w:rPr>
                <w:b/>
                <w:sz w:val="20"/>
                <w:szCs w:val="20"/>
              </w:rPr>
              <w:t>perdi</w:t>
            </w:r>
            <w:proofErr w:type="spellEnd"/>
            <w:r w:rsidRPr="00410C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531" w:type="pct"/>
            <w:noWrap/>
            <w:hideMark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b/>
                <w:sz w:val="20"/>
                <w:szCs w:val="20"/>
                <w:vertAlign w:val="superscript"/>
              </w:rPr>
            </w:pPr>
            <w:r w:rsidRPr="00410C3B">
              <w:rPr>
                <w:b/>
                <w:sz w:val="20"/>
                <w:szCs w:val="20"/>
              </w:rPr>
              <w:t>Possibly an error in data transfer, source reports largest at 122</w:t>
            </w:r>
            <w:r>
              <w:rPr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757" w:type="pct"/>
            <w:noWrap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410C3B" w:rsidRDefault="005A2E05" w:rsidP="00BC2612">
            <w:pPr>
              <w:rPr>
                <w:b/>
                <w:sz w:val="20"/>
                <w:szCs w:val="20"/>
              </w:rPr>
            </w:pPr>
            <w:proofErr w:type="spellStart"/>
            <w:r w:rsidRPr="00410C3B">
              <w:rPr>
                <w:b/>
                <w:sz w:val="20"/>
                <w:szCs w:val="20"/>
              </w:rPr>
              <w:t>Australoheros</w:t>
            </w:r>
            <w:proofErr w:type="spellEnd"/>
            <w:r w:rsidRPr="00410C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0C3B">
              <w:rPr>
                <w:b/>
                <w:sz w:val="20"/>
                <w:szCs w:val="20"/>
              </w:rPr>
              <w:t>scitulus</w:t>
            </w:r>
            <w:proofErr w:type="spellEnd"/>
            <w:r w:rsidRPr="00410C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31" w:type="pct"/>
            <w:noWrap/>
            <w:hideMark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b/>
                <w:sz w:val="20"/>
                <w:szCs w:val="20"/>
                <w:vertAlign w:val="superscript"/>
              </w:rPr>
            </w:pPr>
            <w:r w:rsidRPr="00410C3B">
              <w:rPr>
                <w:b/>
                <w:sz w:val="20"/>
                <w:szCs w:val="20"/>
              </w:rPr>
              <w:t>Holotype reported, rather than largest specimen at 97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57" w:type="pct"/>
            <w:noWrap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Australoheros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taura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124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sz w:val="20"/>
                <w:szCs w:val="20"/>
                <w:vertAlign w:val="superscript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410C3B" w:rsidRDefault="005A2E05" w:rsidP="00BC2612">
            <w:pPr>
              <w:rPr>
                <w:b/>
                <w:sz w:val="20"/>
                <w:szCs w:val="20"/>
              </w:rPr>
            </w:pPr>
            <w:proofErr w:type="spellStart"/>
            <w:r w:rsidRPr="00410C3B">
              <w:rPr>
                <w:b/>
                <w:sz w:val="20"/>
                <w:szCs w:val="20"/>
              </w:rPr>
              <w:t>Australoheros</w:t>
            </w:r>
            <w:proofErr w:type="spellEnd"/>
            <w:r w:rsidRPr="00410C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10C3B">
              <w:rPr>
                <w:b/>
                <w:sz w:val="20"/>
                <w:szCs w:val="20"/>
              </w:rPr>
              <w:t>tavaresi</w:t>
            </w:r>
            <w:proofErr w:type="spellEnd"/>
            <w:r w:rsidRPr="00410C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31" w:type="pct"/>
            <w:noWrap/>
            <w:hideMark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 w:rsidRPr="00410C3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b/>
                <w:sz w:val="20"/>
                <w:szCs w:val="20"/>
                <w:vertAlign w:val="superscript"/>
              </w:rPr>
            </w:pPr>
            <w:r w:rsidRPr="00410C3B">
              <w:rPr>
                <w:b/>
                <w:sz w:val="20"/>
                <w:szCs w:val="20"/>
              </w:rPr>
              <w:t>Possibly an error in data transfer, source reports largest at 66</w:t>
            </w:r>
            <w:r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757" w:type="pct"/>
            <w:noWrap/>
          </w:tcPr>
          <w:p w:rsidR="005A2E05" w:rsidRPr="00410C3B" w:rsidRDefault="005A2E05" w:rsidP="00BC26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Australoheros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tembe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134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sz w:val="20"/>
                <w:szCs w:val="20"/>
                <w:vertAlign w:val="superscript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Biotoecus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opercularis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38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sz w:val="20"/>
                <w:szCs w:val="20"/>
                <w:vertAlign w:val="superscript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Bujurquina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vittata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90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70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sz w:val="20"/>
                <w:szCs w:val="20"/>
                <w:vertAlign w:val="superscript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Chaetobranchus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flavescens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260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210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intermedia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550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sz w:val="20"/>
                <w:szCs w:val="20"/>
                <w:vertAlign w:val="superscript"/>
              </w:rPr>
            </w:pPr>
            <w:r w:rsidRPr="00AA7977">
              <w:rPr>
                <w:sz w:val="20"/>
                <w:szCs w:val="20"/>
              </w:rPr>
              <w:t>Angling record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jariina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340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sz w:val="20"/>
                <w:szCs w:val="20"/>
                <w:vertAlign w:val="superscript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340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kelberi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276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276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melaniae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290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290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mirianae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520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520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nigromaculata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263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263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ocellaris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740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667" w:type="pct"/>
            <w:noWrap/>
            <w:hideMark/>
          </w:tcPr>
          <w:p w:rsidR="005A2E05" w:rsidRPr="00564498" w:rsidRDefault="005A2E05" w:rsidP="00BC2612">
            <w:pPr>
              <w:rPr>
                <w:sz w:val="20"/>
                <w:szCs w:val="20"/>
                <w:vertAlign w:val="superscript"/>
              </w:rPr>
            </w:pPr>
            <w:r w:rsidRPr="00AA7977">
              <w:rPr>
                <w:sz w:val="20"/>
                <w:szCs w:val="20"/>
              </w:rPr>
              <w:t>Angling record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445249">
              <w:rPr>
                <w:sz w:val="20"/>
                <w:szCs w:val="20"/>
              </w:rPr>
              <w:t>740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pinima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520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piquiti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430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pleiozona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340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temensis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990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Angling record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445249">
              <w:rPr>
                <w:sz w:val="20"/>
                <w:szCs w:val="20"/>
              </w:rPr>
              <w:t>990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thyrorus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430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vazzoleri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410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Cichlasoma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atromaculatum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250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170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Cichlasoma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bimaculatum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300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123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Cichlasoma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urophthalmum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394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Angling record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Crenicichla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celidochilus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268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181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Crenicichla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igara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312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223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Crenicichla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jurubi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303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178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Crenicichla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minuano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260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172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Crenicichla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missioneira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283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209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Crenicichla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sveni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250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150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757" w:type="pct"/>
            <w:noWrap/>
          </w:tcPr>
          <w:p w:rsidR="005A2E05" w:rsidRPr="0085546B" w:rsidRDefault="005A2E05" w:rsidP="00BC261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193</w:t>
            </w:r>
            <w:r>
              <w:rPr>
                <w:sz w:val="20"/>
                <w:szCs w:val="20"/>
                <w:vertAlign w:val="superscript"/>
              </w:rPr>
              <w:t>23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Crenicichla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yaha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146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Dicrossus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maculatus</w:t>
            </w:r>
            <w:proofErr w:type="spellEnd"/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60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53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Hoplarchus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psittacus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320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Angling record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57" w:type="pct"/>
            <w:noWrap/>
          </w:tcPr>
          <w:p w:rsidR="005A2E05" w:rsidRPr="00817261" w:rsidRDefault="005A2E05" w:rsidP="00BC261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235</w:t>
            </w:r>
            <w:r>
              <w:rPr>
                <w:sz w:val="20"/>
                <w:szCs w:val="20"/>
                <w:vertAlign w:val="superscript"/>
              </w:rPr>
              <w:t>23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Hypsophrys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nicaraguensis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200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165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Laetacara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curviceps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66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46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Laetacara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dorsigera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60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45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Laetacara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thayeri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120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65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757" w:type="pct"/>
            <w:noWrap/>
          </w:tcPr>
          <w:p w:rsidR="005A2E05" w:rsidRPr="00817261" w:rsidRDefault="005A2E05" w:rsidP="00BC261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  <w:vertAlign w:val="superscript"/>
              </w:rPr>
              <w:t>23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Parachromis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dovii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720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Angling record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Parachromis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managuensis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550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Angling record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57" w:type="pct"/>
            <w:noWrap/>
          </w:tcPr>
          <w:p w:rsidR="005A2E05" w:rsidRPr="00817261" w:rsidRDefault="005A2E05" w:rsidP="00BC261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lastRenderedPageBreak/>
              <w:t>Pterophyllum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altum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180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65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Satanoperca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pappaterra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192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174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757" w:type="pct"/>
            <w:noWrap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>
              <w:rPr>
                <w:sz w:val="20"/>
                <w:szCs w:val="20"/>
                <w:vertAlign w:val="superscript"/>
              </w:rPr>
              <w:t>23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Taeniacara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candidi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50</w:t>
            </w:r>
          </w:p>
        </w:tc>
        <w:tc>
          <w:tcPr>
            <w:tcW w:w="531" w:type="pct"/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33</w:t>
            </w:r>
          </w:p>
        </w:tc>
        <w:tc>
          <w:tcPr>
            <w:tcW w:w="1667" w:type="pct"/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Length of female specimen, uncited</w:t>
            </w:r>
          </w:p>
        </w:tc>
        <w:tc>
          <w:tcPr>
            <w:tcW w:w="757" w:type="pct"/>
            <w:noWrap/>
          </w:tcPr>
          <w:p w:rsidR="005A2E05" w:rsidRPr="00817261" w:rsidRDefault="005A2E05" w:rsidP="00BC2612">
            <w:pPr>
              <w:jc w:val="center"/>
              <w:rPr>
                <w:sz w:val="20"/>
                <w:szCs w:val="20"/>
              </w:rPr>
            </w:pPr>
            <w:r w:rsidRPr="00817261">
              <w:rPr>
                <w:sz w:val="20"/>
                <w:szCs w:val="20"/>
              </w:rPr>
              <w:t>33</w:t>
            </w:r>
          </w:p>
        </w:tc>
      </w:tr>
      <w:tr w:rsidR="005A2E05" w:rsidRPr="00AA7977" w:rsidTr="00BC2612">
        <w:trPr>
          <w:trHeight w:val="300"/>
          <w:jc w:val="center"/>
        </w:trPr>
        <w:tc>
          <w:tcPr>
            <w:tcW w:w="1513" w:type="pct"/>
            <w:tcBorders>
              <w:bottom w:val="single" w:sz="4" w:space="0" w:color="auto"/>
            </w:tcBorders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proofErr w:type="spellStart"/>
            <w:r w:rsidRPr="00AA7977">
              <w:rPr>
                <w:sz w:val="20"/>
                <w:szCs w:val="20"/>
              </w:rPr>
              <w:t>Tahuantinsuyoa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  <w:proofErr w:type="spellStart"/>
            <w:r w:rsidRPr="00AA7977">
              <w:rPr>
                <w:sz w:val="20"/>
                <w:szCs w:val="20"/>
              </w:rPr>
              <w:t>macantzatza</w:t>
            </w:r>
            <w:proofErr w:type="spellEnd"/>
            <w:r w:rsidRPr="00AA7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120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:rsidR="005A2E05" w:rsidRPr="00AA7977" w:rsidRDefault="005A2E05" w:rsidP="00BC2612">
            <w:pPr>
              <w:jc w:val="center"/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74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noWrap/>
            <w:hideMark/>
          </w:tcPr>
          <w:p w:rsidR="005A2E05" w:rsidRPr="00AA7977" w:rsidRDefault="005A2E05" w:rsidP="00BC2612">
            <w:pPr>
              <w:rPr>
                <w:sz w:val="20"/>
                <w:szCs w:val="20"/>
              </w:rPr>
            </w:pPr>
            <w:r w:rsidRPr="00AA7977">
              <w:rPr>
                <w:sz w:val="20"/>
                <w:szCs w:val="20"/>
              </w:rPr>
              <w:t>Unavailable source</w:t>
            </w:r>
            <w:r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noWrap/>
          </w:tcPr>
          <w:p w:rsidR="005A2E05" w:rsidRPr="00817261" w:rsidRDefault="005A2E05" w:rsidP="00BC2612">
            <w:pPr>
              <w:jc w:val="center"/>
              <w:rPr>
                <w:sz w:val="20"/>
                <w:szCs w:val="20"/>
              </w:rPr>
            </w:pPr>
            <w:r w:rsidRPr="00817261">
              <w:rPr>
                <w:sz w:val="20"/>
                <w:szCs w:val="20"/>
              </w:rPr>
              <w:t>120</w:t>
            </w:r>
          </w:p>
        </w:tc>
      </w:tr>
    </w:tbl>
    <w:p w:rsidR="005A2E05" w:rsidRDefault="005A2E05" w:rsidP="005A2E05">
      <w:pPr>
        <w:spacing w:after="0"/>
        <w:rPr>
          <w:sz w:val="20"/>
          <w:szCs w:val="20"/>
        </w:rPr>
      </w:pPr>
      <w:r w:rsidRPr="00112683">
        <w:rPr>
          <w:vertAlign w:val="superscript"/>
        </w:rPr>
        <w:t>1</w:t>
      </w:r>
      <w:r>
        <w:t xml:space="preserve"> </w:t>
      </w:r>
      <w:proofErr w:type="spellStart"/>
      <w:r w:rsidRPr="00AA7977">
        <w:rPr>
          <w:sz w:val="20"/>
          <w:szCs w:val="20"/>
        </w:rPr>
        <w:t>Kullander</w:t>
      </w:r>
      <w:proofErr w:type="spellEnd"/>
      <w:r w:rsidRPr="00AA7977">
        <w:rPr>
          <w:sz w:val="20"/>
          <w:szCs w:val="20"/>
        </w:rPr>
        <w:t xml:space="preserve"> 2004 </w:t>
      </w:r>
      <w:proofErr w:type="spellStart"/>
      <w:r w:rsidRPr="00AA7977">
        <w:rPr>
          <w:sz w:val="20"/>
          <w:szCs w:val="20"/>
        </w:rPr>
        <w:t>Ichthyological</w:t>
      </w:r>
      <w:proofErr w:type="spellEnd"/>
      <w:r w:rsidRPr="00AA7977">
        <w:rPr>
          <w:sz w:val="20"/>
          <w:szCs w:val="20"/>
        </w:rPr>
        <w:t xml:space="preserve"> Exploration of Freshwaters 15: 41-48</w:t>
      </w:r>
    </w:p>
    <w:p w:rsidR="005A2E05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proofErr w:type="spellStart"/>
      <w:r w:rsidRPr="00AA7977">
        <w:rPr>
          <w:sz w:val="20"/>
          <w:szCs w:val="20"/>
        </w:rPr>
        <w:t>Kullander</w:t>
      </w:r>
      <w:proofErr w:type="spellEnd"/>
      <w:r w:rsidRPr="00AA7977">
        <w:rPr>
          <w:sz w:val="20"/>
          <w:szCs w:val="20"/>
        </w:rPr>
        <w:t xml:space="preserve"> and Ferreira 2005 Neotropical Ichthyology 3(3): 361-371</w:t>
      </w:r>
    </w:p>
    <w:p w:rsidR="005A2E05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proofErr w:type="spellStart"/>
      <w:r w:rsidRPr="00AA7977">
        <w:rPr>
          <w:sz w:val="20"/>
          <w:szCs w:val="20"/>
        </w:rPr>
        <w:t>Romer</w:t>
      </w:r>
      <w:proofErr w:type="spellEnd"/>
      <w:r w:rsidRPr="00AA7977">
        <w:rPr>
          <w:sz w:val="20"/>
          <w:szCs w:val="20"/>
        </w:rPr>
        <w:t xml:space="preserve"> et </w:t>
      </w:r>
      <w:r>
        <w:rPr>
          <w:sz w:val="20"/>
          <w:szCs w:val="20"/>
        </w:rPr>
        <w:t>al. 2004 Das Aquarium 422: 15-30</w:t>
      </w:r>
    </w:p>
    <w:p w:rsidR="005A2E05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proofErr w:type="spellStart"/>
      <w:r w:rsidRPr="00AA7977">
        <w:rPr>
          <w:sz w:val="20"/>
          <w:szCs w:val="20"/>
        </w:rPr>
        <w:t>Riehl</w:t>
      </w:r>
      <w:proofErr w:type="spellEnd"/>
      <w:r w:rsidRPr="00AA7977">
        <w:rPr>
          <w:sz w:val="20"/>
          <w:szCs w:val="20"/>
        </w:rPr>
        <w:t xml:space="preserve"> and </w:t>
      </w:r>
      <w:proofErr w:type="spellStart"/>
      <w:r w:rsidRPr="00AA7977">
        <w:rPr>
          <w:sz w:val="20"/>
          <w:szCs w:val="20"/>
        </w:rPr>
        <w:t>Baensch</w:t>
      </w:r>
      <w:proofErr w:type="spellEnd"/>
      <w:r w:rsidRPr="00AA7977">
        <w:rPr>
          <w:sz w:val="20"/>
          <w:szCs w:val="20"/>
        </w:rPr>
        <w:t xml:space="preserve"> 1991 </w:t>
      </w:r>
      <w:proofErr w:type="spellStart"/>
      <w:r w:rsidRPr="00AA7977">
        <w:rPr>
          <w:sz w:val="20"/>
          <w:szCs w:val="20"/>
        </w:rPr>
        <w:t>Aquarien</w:t>
      </w:r>
      <w:proofErr w:type="spellEnd"/>
      <w:r w:rsidRPr="00AA7977">
        <w:rPr>
          <w:sz w:val="20"/>
          <w:szCs w:val="20"/>
        </w:rPr>
        <w:t xml:space="preserve"> Atlas 1: 992</w:t>
      </w:r>
    </w:p>
    <w:p w:rsidR="005A2E05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 w:rsidRPr="00AA7977">
        <w:rPr>
          <w:sz w:val="20"/>
          <w:szCs w:val="20"/>
        </w:rPr>
        <w:t>Database of IGFA angling records until</w:t>
      </w:r>
      <w:r>
        <w:rPr>
          <w:sz w:val="20"/>
          <w:szCs w:val="20"/>
        </w:rPr>
        <w:t xml:space="preserve"> 2001</w:t>
      </w:r>
    </w:p>
    <w:p w:rsidR="005A2E05" w:rsidRPr="00564498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</w:t>
      </w:r>
      <w:proofErr w:type="spellStart"/>
      <w:r w:rsidRPr="00564498">
        <w:rPr>
          <w:sz w:val="20"/>
          <w:szCs w:val="20"/>
        </w:rPr>
        <w:t>Ottoni</w:t>
      </w:r>
      <w:proofErr w:type="spellEnd"/>
      <w:r w:rsidRPr="00564498">
        <w:rPr>
          <w:sz w:val="20"/>
          <w:szCs w:val="20"/>
        </w:rPr>
        <w:t xml:space="preserve"> 2010 Vertebrate Zoology 60:19-25</w:t>
      </w:r>
    </w:p>
    <w:p w:rsidR="005A2E05" w:rsidRPr="00564498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</w:t>
      </w:r>
      <w:proofErr w:type="spellStart"/>
      <w:r w:rsidRPr="00564498">
        <w:rPr>
          <w:sz w:val="20"/>
          <w:szCs w:val="20"/>
        </w:rPr>
        <w:t>Rícan</w:t>
      </w:r>
      <w:proofErr w:type="spellEnd"/>
      <w:r w:rsidRPr="00564498">
        <w:rPr>
          <w:sz w:val="20"/>
          <w:szCs w:val="20"/>
        </w:rPr>
        <w:t xml:space="preserve"> and </w:t>
      </w:r>
      <w:proofErr w:type="spellStart"/>
      <w:r w:rsidRPr="00564498">
        <w:rPr>
          <w:sz w:val="20"/>
          <w:szCs w:val="20"/>
        </w:rPr>
        <w:t>Kullander</w:t>
      </w:r>
      <w:proofErr w:type="spellEnd"/>
      <w:r w:rsidRPr="00564498">
        <w:rPr>
          <w:sz w:val="20"/>
          <w:szCs w:val="20"/>
        </w:rPr>
        <w:t xml:space="preserve"> 2008 </w:t>
      </w:r>
      <w:proofErr w:type="spellStart"/>
      <w:r w:rsidRPr="00564498">
        <w:rPr>
          <w:sz w:val="20"/>
          <w:szCs w:val="20"/>
        </w:rPr>
        <w:t>Zootaxa</w:t>
      </w:r>
      <w:proofErr w:type="spellEnd"/>
      <w:r w:rsidRPr="00564498">
        <w:rPr>
          <w:sz w:val="20"/>
          <w:szCs w:val="20"/>
        </w:rPr>
        <w:t xml:space="preserve"> 1724:1-51</w:t>
      </w:r>
    </w:p>
    <w:p w:rsidR="005A2E05" w:rsidRPr="00564498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 xml:space="preserve"> </w:t>
      </w:r>
      <w:proofErr w:type="spellStart"/>
      <w:r w:rsidRPr="00564498">
        <w:rPr>
          <w:sz w:val="20"/>
          <w:szCs w:val="20"/>
        </w:rPr>
        <w:t>Ottoni</w:t>
      </w:r>
      <w:proofErr w:type="spellEnd"/>
      <w:r w:rsidRPr="00564498">
        <w:rPr>
          <w:sz w:val="20"/>
          <w:szCs w:val="20"/>
        </w:rPr>
        <w:t xml:space="preserve"> et al. 2008 Vertebrate Zoology 58:207-232</w:t>
      </w:r>
    </w:p>
    <w:p w:rsidR="005A2E05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</w:t>
      </w:r>
      <w:proofErr w:type="spellStart"/>
      <w:r w:rsidRPr="00564498">
        <w:rPr>
          <w:sz w:val="20"/>
          <w:szCs w:val="20"/>
        </w:rPr>
        <w:t>Ottoni</w:t>
      </w:r>
      <w:proofErr w:type="spellEnd"/>
      <w:r w:rsidRPr="00564498">
        <w:rPr>
          <w:sz w:val="20"/>
          <w:szCs w:val="20"/>
        </w:rPr>
        <w:t xml:space="preserve"> et al. 2011 Vertebrate Zoology 61: 137-145</w:t>
      </w:r>
    </w:p>
    <w:p w:rsidR="005A2E05" w:rsidRPr="00564498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</w:t>
      </w:r>
      <w:proofErr w:type="spellStart"/>
      <w:r w:rsidRPr="00564498">
        <w:rPr>
          <w:sz w:val="20"/>
          <w:szCs w:val="20"/>
        </w:rPr>
        <w:t>Rícan</w:t>
      </w:r>
      <w:proofErr w:type="spellEnd"/>
      <w:r w:rsidRPr="00564498">
        <w:rPr>
          <w:sz w:val="20"/>
          <w:szCs w:val="20"/>
        </w:rPr>
        <w:t xml:space="preserve"> and </w:t>
      </w:r>
      <w:proofErr w:type="spellStart"/>
      <w:r w:rsidRPr="00564498">
        <w:rPr>
          <w:sz w:val="20"/>
          <w:szCs w:val="20"/>
        </w:rPr>
        <w:t>Kullander</w:t>
      </w:r>
      <w:proofErr w:type="spellEnd"/>
      <w:r w:rsidRPr="00564498">
        <w:rPr>
          <w:sz w:val="20"/>
          <w:szCs w:val="20"/>
        </w:rPr>
        <w:t xml:space="preserve"> 2003 </w:t>
      </w:r>
      <w:proofErr w:type="spellStart"/>
      <w:r w:rsidRPr="00564498">
        <w:rPr>
          <w:sz w:val="20"/>
          <w:szCs w:val="20"/>
        </w:rPr>
        <w:t>Copeia</w:t>
      </w:r>
      <w:proofErr w:type="spellEnd"/>
      <w:r w:rsidRPr="00564498">
        <w:rPr>
          <w:sz w:val="20"/>
          <w:szCs w:val="20"/>
        </w:rPr>
        <w:t xml:space="preserve"> 2003: 794-802</w:t>
      </w:r>
    </w:p>
    <w:p w:rsidR="005A2E05" w:rsidRPr="00564498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11</w:t>
      </w:r>
      <w:r>
        <w:rPr>
          <w:sz w:val="20"/>
          <w:szCs w:val="20"/>
        </w:rPr>
        <w:t xml:space="preserve"> </w:t>
      </w:r>
      <w:proofErr w:type="spellStart"/>
      <w:r w:rsidRPr="00564498">
        <w:rPr>
          <w:sz w:val="20"/>
          <w:szCs w:val="20"/>
        </w:rPr>
        <w:t>Ottoni</w:t>
      </w:r>
      <w:proofErr w:type="spellEnd"/>
      <w:r w:rsidRPr="00564498">
        <w:rPr>
          <w:sz w:val="20"/>
          <w:szCs w:val="20"/>
        </w:rPr>
        <w:t xml:space="preserve"> and </w:t>
      </w:r>
      <w:proofErr w:type="spellStart"/>
      <w:r w:rsidRPr="00564498">
        <w:rPr>
          <w:sz w:val="20"/>
          <w:szCs w:val="20"/>
        </w:rPr>
        <w:t>Cheffe</w:t>
      </w:r>
      <w:proofErr w:type="spellEnd"/>
      <w:r w:rsidRPr="00564498">
        <w:rPr>
          <w:sz w:val="20"/>
          <w:szCs w:val="20"/>
        </w:rPr>
        <w:t xml:space="preserve"> 2009 </w:t>
      </w:r>
      <w:proofErr w:type="spellStart"/>
      <w:r w:rsidRPr="00564498">
        <w:rPr>
          <w:sz w:val="20"/>
          <w:szCs w:val="20"/>
        </w:rPr>
        <w:t>Spixiana</w:t>
      </w:r>
      <w:proofErr w:type="spellEnd"/>
      <w:r w:rsidRPr="00564498">
        <w:rPr>
          <w:sz w:val="20"/>
          <w:szCs w:val="20"/>
        </w:rPr>
        <w:t xml:space="preserve"> 32:153-159</w:t>
      </w:r>
    </w:p>
    <w:p w:rsidR="005A2E05" w:rsidRPr="00564498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 xml:space="preserve"> </w:t>
      </w:r>
      <w:proofErr w:type="spellStart"/>
      <w:r w:rsidRPr="00564498">
        <w:rPr>
          <w:sz w:val="20"/>
          <w:szCs w:val="20"/>
        </w:rPr>
        <w:t>Ottoni</w:t>
      </w:r>
      <w:proofErr w:type="spellEnd"/>
      <w:r w:rsidRPr="00564498">
        <w:rPr>
          <w:sz w:val="20"/>
          <w:szCs w:val="20"/>
        </w:rPr>
        <w:t xml:space="preserve"> 2012 Vertebrate Zoology 62: 83-96</w:t>
      </w:r>
    </w:p>
    <w:p w:rsidR="005A2E05" w:rsidRPr="00564498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13</w:t>
      </w:r>
      <w:r>
        <w:rPr>
          <w:sz w:val="20"/>
          <w:szCs w:val="20"/>
        </w:rPr>
        <w:t xml:space="preserve"> </w:t>
      </w:r>
      <w:proofErr w:type="spellStart"/>
      <w:r w:rsidRPr="00564498">
        <w:rPr>
          <w:sz w:val="20"/>
          <w:szCs w:val="20"/>
        </w:rPr>
        <w:t>Casciotta</w:t>
      </w:r>
      <w:proofErr w:type="spellEnd"/>
      <w:r w:rsidRPr="00564498">
        <w:rPr>
          <w:sz w:val="20"/>
          <w:szCs w:val="20"/>
        </w:rPr>
        <w:t xml:space="preserve"> et al. 1995 </w:t>
      </w:r>
      <w:proofErr w:type="spellStart"/>
      <w:r w:rsidRPr="00564498">
        <w:rPr>
          <w:sz w:val="20"/>
          <w:szCs w:val="20"/>
        </w:rPr>
        <w:t>Ichthyological</w:t>
      </w:r>
      <w:proofErr w:type="spellEnd"/>
      <w:r w:rsidRPr="00564498">
        <w:rPr>
          <w:sz w:val="20"/>
          <w:szCs w:val="20"/>
        </w:rPr>
        <w:t xml:space="preserve"> Exploration of Freshwaters</w:t>
      </w:r>
    </w:p>
    <w:p w:rsidR="005A2E05" w:rsidRPr="00564498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14</w:t>
      </w:r>
      <w:r>
        <w:rPr>
          <w:sz w:val="20"/>
          <w:szCs w:val="20"/>
        </w:rPr>
        <w:t xml:space="preserve"> </w:t>
      </w:r>
      <w:r w:rsidRPr="00564498">
        <w:rPr>
          <w:sz w:val="20"/>
          <w:szCs w:val="20"/>
        </w:rPr>
        <w:t xml:space="preserve">Axelrod 1993 </w:t>
      </w:r>
      <w:proofErr w:type="gramStart"/>
      <w:r w:rsidRPr="00564498">
        <w:rPr>
          <w:sz w:val="20"/>
          <w:szCs w:val="20"/>
        </w:rPr>
        <w:t>The</w:t>
      </w:r>
      <w:proofErr w:type="gramEnd"/>
      <w:r w:rsidRPr="00564498">
        <w:rPr>
          <w:sz w:val="20"/>
          <w:szCs w:val="20"/>
        </w:rPr>
        <w:t xml:space="preserve"> most complete colored lexicon of cichlids</w:t>
      </w:r>
    </w:p>
    <w:p w:rsidR="005A2E05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 xml:space="preserve"> </w:t>
      </w:r>
      <w:proofErr w:type="spellStart"/>
      <w:r w:rsidRPr="00564498">
        <w:rPr>
          <w:sz w:val="20"/>
          <w:szCs w:val="20"/>
        </w:rPr>
        <w:t>Britski</w:t>
      </w:r>
      <w:proofErr w:type="spellEnd"/>
      <w:r w:rsidRPr="00564498">
        <w:rPr>
          <w:sz w:val="20"/>
          <w:szCs w:val="20"/>
        </w:rPr>
        <w:t xml:space="preserve"> et al. 2007 </w:t>
      </w:r>
      <w:proofErr w:type="spellStart"/>
      <w:r w:rsidRPr="00564498">
        <w:rPr>
          <w:sz w:val="20"/>
          <w:szCs w:val="20"/>
        </w:rPr>
        <w:t>Peixes</w:t>
      </w:r>
      <w:proofErr w:type="spellEnd"/>
      <w:r w:rsidRPr="00564498">
        <w:rPr>
          <w:sz w:val="20"/>
          <w:szCs w:val="20"/>
        </w:rPr>
        <w:t xml:space="preserve"> do </w:t>
      </w:r>
      <w:proofErr w:type="spellStart"/>
      <w:r w:rsidRPr="00564498">
        <w:rPr>
          <w:sz w:val="20"/>
          <w:szCs w:val="20"/>
        </w:rPr>
        <w:t>Pantanal</w:t>
      </w:r>
      <w:proofErr w:type="spellEnd"/>
    </w:p>
    <w:p w:rsidR="005A2E05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16</w:t>
      </w:r>
      <w:r>
        <w:rPr>
          <w:sz w:val="20"/>
          <w:szCs w:val="20"/>
        </w:rPr>
        <w:t xml:space="preserve"> </w:t>
      </w:r>
      <w:proofErr w:type="spellStart"/>
      <w:r w:rsidRPr="00AA7977">
        <w:rPr>
          <w:sz w:val="20"/>
          <w:szCs w:val="20"/>
        </w:rPr>
        <w:t>Kullander</w:t>
      </w:r>
      <w:proofErr w:type="spellEnd"/>
      <w:r w:rsidRPr="00AA7977">
        <w:rPr>
          <w:sz w:val="20"/>
          <w:szCs w:val="20"/>
        </w:rPr>
        <w:t xml:space="preserve"> and Ferreira 2006 </w:t>
      </w:r>
      <w:proofErr w:type="spellStart"/>
      <w:r w:rsidRPr="00AA7977">
        <w:rPr>
          <w:sz w:val="20"/>
          <w:szCs w:val="20"/>
        </w:rPr>
        <w:t>Ichthyological</w:t>
      </w:r>
      <w:proofErr w:type="spellEnd"/>
      <w:r w:rsidRPr="00AA7977">
        <w:rPr>
          <w:sz w:val="20"/>
          <w:szCs w:val="20"/>
        </w:rPr>
        <w:t xml:space="preserve"> Exploration of Freshwaters 17(4): 289-398</w:t>
      </w:r>
    </w:p>
    <w:p w:rsidR="005A2E05" w:rsidRPr="00112683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17</w:t>
      </w:r>
      <w:r>
        <w:rPr>
          <w:sz w:val="20"/>
          <w:szCs w:val="20"/>
        </w:rPr>
        <w:t xml:space="preserve"> </w:t>
      </w:r>
      <w:proofErr w:type="spellStart"/>
      <w:r w:rsidRPr="00112683">
        <w:rPr>
          <w:sz w:val="20"/>
          <w:szCs w:val="20"/>
        </w:rPr>
        <w:t>Filho</w:t>
      </w:r>
      <w:proofErr w:type="spellEnd"/>
      <w:r w:rsidRPr="00112683">
        <w:rPr>
          <w:sz w:val="20"/>
          <w:szCs w:val="20"/>
        </w:rPr>
        <w:t xml:space="preserve"> et al. 2004 </w:t>
      </w:r>
      <w:proofErr w:type="spellStart"/>
      <w:r w:rsidRPr="00112683">
        <w:rPr>
          <w:sz w:val="20"/>
          <w:szCs w:val="20"/>
        </w:rPr>
        <w:t>Catálogo</w:t>
      </w:r>
      <w:proofErr w:type="spellEnd"/>
      <w:r w:rsidRPr="00112683">
        <w:rPr>
          <w:sz w:val="20"/>
          <w:szCs w:val="20"/>
        </w:rPr>
        <w:t xml:space="preserve"> </w:t>
      </w:r>
      <w:proofErr w:type="spellStart"/>
      <w:r w:rsidRPr="00112683">
        <w:rPr>
          <w:sz w:val="20"/>
          <w:szCs w:val="20"/>
        </w:rPr>
        <w:t>ilustrado</w:t>
      </w:r>
      <w:proofErr w:type="spellEnd"/>
      <w:r w:rsidRPr="00112683">
        <w:rPr>
          <w:sz w:val="20"/>
          <w:szCs w:val="20"/>
        </w:rPr>
        <w:t xml:space="preserve"> de </w:t>
      </w:r>
      <w:proofErr w:type="spellStart"/>
      <w:r w:rsidRPr="00112683">
        <w:rPr>
          <w:sz w:val="20"/>
          <w:szCs w:val="20"/>
        </w:rPr>
        <w:t>peixes</w:t>
      </w:r>
      <w:proofErr w:type="spellEnd"/>
      <w:r w:rsidRPr="00112683">
        <w:rPr>
          <w:sz w:val="20"/>
          <w:szCs w:val="20"/>
        </w:rPr>
        <w:t xml:space="preserve"> do alto Rio </w:t>
      </w:r>
      <w:proofErr w:type="spellStart"/>
      <w:r w:rsidRPr="00112683">
        <w:rPr>
          <w:sz w:val="20"/>
          <w:szCs w:val="20"/>
        </w:rPr>
        <w:t>Uruguai</w:t>
      </w:r>
      <w:proofErr w:type="spellEnd"/>
    </w:p>
    <w:p w:rsidR="005A2E05" w:rsidRPr="00112683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18</w:t>
      </w:r>
      <w:r>
        <w:rPr>
          <w:sz w:val="20"/>
          <w:szCs w:val="20"/>
        </w:rPr>
        <w:t xml:space="preserve"> </w:t>
      </w:r>
      <w:proofErr w:type="spellStart"/>
      <w:r w:rsidRPr="00112683">
        <w:rPr>
          <w:sz w:val="20"/>
          <w:szCs w:val="20"/>
        </w:rPr>
        <w:t>Baensch</w:t>
      </w:r>
      <w:proofErr w:type="spellEnd"/>
      <w:r w:rsidRPr="00112683">
        <w:rPr>
          <w:sz w:val="20"/>
          <w:szCs w:val="20"/>
        </w:rPr>
        <w:t xml:space="preserve"> and </w:t>
      </w:r>
      <w:proofErr w:type="spellStart"/>
      <w:r w:rsidRPr="00112683">
        <w:rPr>
          <w:sz w:val="20"/>
          <w:szCs w:val="20"/>
        </w:rPr>
        <w:t>Riehl</w:t>
      </w:r>
      <w:proofErr w:type="spellEnd"/>
      <w:r w:rsidRPr="00112683">
        <w:rPr>
          <w:sz w:val="20"/>
          <w:szCs w:val="20"/>
        </w:rPr>
        <w:t xml:space="preserve"> 1995 </w:t>
      </w:r>
      <w:proofErr w:type="spellStart"/>
      <w:r w:rsidRPr="00112683">
        <w:rPr>
          <w:sz w:val="20"/>
          <w:szCs w:val="20"/>
        </w:rPr>
        <w:t>Aquarien</w:t>
      </w:r>
      <w:proofErr w:type="spellEnd"/>
      <w:r w:rsidRPr="00112683">
        <w:rPr>
          <w:sz w:val="20"/>
          <w:szCs w:val="20"/>
        </w:rPr>
        <w:t xml:space="preserve"> Atlas</w:t>
      </w:r>
    </w:p>
    <w:p w:rsidR="005A2E05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19</w:t>
      </w:r>
      <w:r>
        <w:rPr>
          <w:sz w:val="20"/>
          <w:szCs w:val="20"/>
        </w:rPr>
        <w:t xml:space="preserve"> </w:t>
      </w:r>
      <w:proofErr w:type="spellStart"/>
      <w:r w:rsidRPr="00112683">
        <w:rPr>
          <w:sz w:val="20"/>
          <w:szCs w:val="20"/>
        </w:rPr>
        <w:t>Casciotta</w:t>
      </w:r>
      <w:proofErr w:type="spellEnd"/>
      <w:r w:rsidRPr="00112683">
        <w:rPr>
          <w:sz w:val="20"/>
          <w:szCs w:val="20"/>
        </w:rPr>
        <w:t xml:space="preserve"> et al. 2006 </w:t>
      </w:r>
      <w:proofErr w:type="spellStart"/>
      <w:r w:rsidRPr="00112683">
        <w:rPr>
          <w:sz w:val="20"/>
          <w:szCs w:val="20"/>
        </w:rPr>
        <w:t>Zoologische</w:t>
      </w:r>
      <w:proofErr w:type="spellEnd"/>
      <w:r w:rsidRPr="00112683">
        <w:rPr>
          <w:sz w:val="20"/>
          <w:szCs w:val="20"/>
        </w:rPr>
        <w:t xml:space="preserve"> </w:t>
      </w:r>
      <w:proofErr w:type="spellStart"/>
      <w:r w:rsidRPr="00112683">
        <w:rPr>
          <w:sz w:val="20"/>
          <w:szCs w:val="20"/>
        </w:rPr>
        <w:t>Abhabdlungen</w:t>
      </w:r>
      <w:proofErr w:type="spellEnd"/>
      <w:r w:rsidRPr="00112683">
        <w:rPr>
          <w:sz w:val="20"/>
          <w:szCs w:val="20"/>
        </w:rPr>
        <w:t xml:space="preserve"> 56:107-112</w:t>
      </w:r>
    </w:p>
    <w:p w:rsidR="005A2E05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20</w:t>
      </w:r>
      <w:r>
        <w:rPr>
          <w:sz w:val="20"/>
          <w:szCs w:val="20"/>
        </w:rPr>
        <w:t xml:space="preserve"> </w:t>
      </w:r>
      <w:proofErr w:type="spellStart"/>
      <w:r w:rsidRPr="00AA7977">
        <w:rPr>
          <w:sz w:val="20"/>
          <w:szCs w:val="20"/>
        </w:rPr>
        <w:t>Stawikowski</w:t>
      </w:r>
      <w:proofErr w:type="spellEnd"/>
      <w:r w:rsidRPr="00AA7977">
        <w:rPr>
          <w:sz w:val="20"/>
          <w:szCs w:val="20"/>
        </w:rPr>
        <w:t xml:space="preserve"> and Werner 1998 Die </w:t>
      </w:r>
      <w:proofErr w:type="spellStart"/>
      <w:r w:rsidRPr="00AA7977">
        <w:rPr>
          <w:sz w:val="20"/>
          <w:szCs w:val="20"/>
        </w:rPr>
        <w:t>Buntbarsche</w:t>
      </w:r>
      <w:proofErr w:type="spellEnd"/>
      <w:r w:rsidRPr="00AA7977">
        <w:rPr>
          <w:sz w:val="20"/>
          <w:szCs w:val="20"/>
        </w:rPr>
        <w:t xml:space="preserve"> </w:t>
      </w:r>
      <w:proofErr w:type="spellStart"/>
      <w:r w:rsidRPr="00AA7977">
        <w:rPr>
          <w:sz w:val="20"/>
          <w:szCs w:val="20"/>
        </w:rPr>
        <w:t>Amerikas</w:t>
      </w:r>
      <w:proofErr w:type="spellEnd"/>
    </w:p>
    <w:p w:rsidR="005A2E05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21</w:t>
      </w:r>
      <w:r>
        <w:rPr>
          <w:sz w:val="20"/>
          <w:szCs w:val="20"/>
        </w:rPr>
        <w:t xml:space="preserve"> </w:t>
      </w:r>
      <w:proofErr w:type="spellStart"/>
      <w:r w:rsidRPr="00AA7977">
        <w:rPr>
          <w:sz w:val="20"/>
          <w:szCs w:val="20"/>
        </w:rPr>
        <w:t>Riehl</w:t>
      </w:r>
      <w:proofErr w:type="spellEnd"/>
      <w:r w:rsidRPr="00AA7977">
        <w:rPr>
          <w:sz w:val="20"/>
          <w:szCs w:val="20"/>
        </w:rPr>
        <w:t xml:space="preserve"> and </w:t>
      </w:r>
      <w:proofErr w:type="spellStart"/>
      <w:r w:rsidRPr="00AA7977">
        <w:rPr>
          <w:sz w:val="20"/>
          <w:szCs w:val="20"/>
        </w:rPr>
        <w:t>Baensch</w:t>
      </w:r>
      <w:proofErr w:type="spellEnd"/>
      <w:r w:rsidRPr="00AA7977">
        <w:rPr>
          <w:sz w:val="20"/>
          <w:szCs w:val="20"/>
        </w:rPr>
        <w:t xml:space="preserve"> 1996 </w:t>
      </w:r>
      <w:proofErr w:type="spellStart"/>
      <w:r w:rsidRPr="00AA7977">
        <w:rPr>
          <w:sz w:val="20"/>
          <w:szCs w:val="20"/>
        </w:rPr>
        <w:t>Aquarien</w:t>
      </w:r>
      <w:proofErr w:type="spellEnd"/>
      <w:r w:rsidRPr="00AA7977">
        <w:rPr>
          <w:sz w:val="20"/>
          <w:szCs w:val="20"/>
        </w:rPr>
        <w:t xml:space="preserve"> Atla</w:t>
      </w:r>
      <w:r>
        <w:rPr>
          <w:sz w:val="20"/>
          <w:szCs w:val="20"/>
        </w:rPr>
        <w:t>s</w:t>
      </w:r>
    </w:p>
    <w:p w:rsidR="005A2E05" w:rsidRDefault="005A2E05" w:rsidP="005A2E05">
      <w:pPr>
        <w:spacing w:after="0"/>
        <w:rPr>
          <w:sz w:val="20"/>
          <w:szCs w:val="20"/>
        </w:rPr>
      </w:pPr>
      <w:r w:rsidRPr="00112683">
        <w:rPr>
          <w:sz w:val="20"/>
          <w:szCs w:val="20"/>
          <w:vertAlign w:val="superscript"/>
        </w:rPr>
        <w:t>22</w:t>
      </w:r>
      <w:r>
        <w:rPr>
          <w:sz w:val="20"/>
          <w:szCs w:val="20"/>
        </w:rPr>
        <w:t xml:space="preserve"> </w:t>
      </w:r>
      <w:proofErr w:type="spellStart"/>
      <w:r w:rsidRPr="00AA7977">
        <w:rPr>
          <w:sz w:val="20"/>
          <w:szCs w:val="20"/>
        </w:rPr>
        <w:t>Baensch</w:t>
      </w:r>
      <w:proofErr w:type="spellEnd"/>
      <w:r w:rsidRPr="00AA7977">
        <w:rPr>
          <w:sz w:val="20"/>
          <w:szCs w:val="20"/>
        </w:rPr>
        <w:t xml:space="preserve"> and </w:t>
      </w:r>
      <w:proofErr w:type="spellStart"/>
      <w:r w:rsidRPr="00AA7977">
        <w:rPr>
          <w:sz w:val="20"/>
          <w:szCs w:val="20"/>
        </w:rPr>
        <w:t>Riehl</w:t>
      </w:r>
      <w:proofErr w:type="spellEnd"/>
      <w:r w:rsidRPr="00AA7977">
        <w:rPr>
          <w:sz w:val="20"/>
          <w:szCs w:val="20"/>
        </w:rPr>
        <w:t xml:space="preserve"> 1997 </w:t>
      </w:r>
      <w:proofErr w:type="spellStart"/>
      <w:r w:rsidRPr="00AA7977">
        <w:rPr>
          <w:sz w:val="20"/>
          <w:szCs w:val="20"/>
        </w:rPr>
        <w:t>Aquarien</w:t>
      </w:r>
      <w:proofErr w:type="spellEnd"/>
      <w:r w:rsidRPr="00AA7977">
        <w:rPr>
          <w:sz w:val="20"/>
          <w:szCs w:val="20"/>
        </w:rPr>
        <w:t xml:space="preserve"> Atlas</w:t>
      </w:r>
    </w:p>
    <w:p w:rsidR="005A2E05" w:rsidRPr="0085546B" w:rsidRDefault="005A2E05" w:rsidP="005A2E05">
      <w:pPr>
        <w:spacing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t>23</w:t>
      </w:r>
      <w:r w:rsidRPr="0085546B">
        <w:rPr>
          <w:rFonts w:ascii="Times New Roman" w:hAnsi="Times New Roman"/>
          <w:sz w:val="24"/>
          <w:szCs w:val="24"/>
        </w:rPr>
        <w:t xml:space="preserve"> </w:t>
      </w:r>
      <w:r w:rsidRPr="0085546B">
        <w:rPr>
          <w:sz w:val="20"/>
          <w:szCs w:val="20"/>
        </w:rPr>
        <w:t>López-Fernández</w:t>
      </w:r>
      <w:r>
        <w:rPr>
          <w:sz w:val="20"/>
          <w:szCs w:val="20"/>
        </w:rPr>
        <w:t xml:space="preserve"> et al. 2013 Evolution 67: 1321-1337</w:t>
      </w:r>
    </w:p>
    <w:p w:rsidR="00226BF1" w:rsidRDefault="00226BF1"/>
    <w:sectPr w:rsidR="00226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05"/>
    <w:rsid w:val="0009412A"/>
    <w:rsid w:val="00226BF1"/>
    <w:rsid w:val="0036169F"/>
    <w:rsid w:val="005A2E05"/>
    <w:rsid w:val="00E3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76CDD-7C8E-4686-8AF2-9C48EBCA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A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3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SarahS</dc:creator>
  <cp:keywords/>
  <dc:description/>
  <cp:lastModifiedBy>SarahS</cp:lastModifiedBy>
  <cp:revision>4</cp:revision>
  <dcterms:created xsi:type="dcterms:W3CDTF">2014-05-12T22:05:00Z</dcterms:created>
  <dcterms:modified xsi:type="dcterms:W3CDTF">2014-08-11T18:51:00Z</dcterms:modified>
</cp:coreProperties>
</file>