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5" w:rsidRDefault="00B70315" w:rsidP="00B70315">
      <w:pPr>
        <w:pStyle w:val="ManuscriptText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b/>
          <w:sz w:val="24"/>
        </w:rPr>
        <w:t>Table S3</w:t>
      </w:r>
      <w:r w:rsidRPr="0022753E">
        <w:rPr>
          <w:rFonts w:ascii="Times New Roman" w:hAnsi="Times New Roman" w:cs="Arial"/>
          <w:b/>
          <w:sz w:val="24"/>
        </w:rPr>
        <w:t>:</w:t>
      </w:r>
      <w:r w:rsidRPr="0022753E">
        <w:rPr>
          <w:rFonts w:ascii="Times New Roman" w:hAnsi="Times New Roman" w:cs="Arial"/>
          <w:sz w:val="24"/>
        </w:rPr>
        <w:t xml:space="preserve"> Robustness analysis. Table provides the coefficients for</w:t>
      </w:r>
      <w:r>
        <w:rPr>
          <w:rFonts w:ascii="Times New Roman" w:hAnsi="Times New Roman" w:cs="Arial"/>
          <w:sz w:val="24"/>
        </w:rPr>
        <w:t xml:space="preserve"> the parameter </w:t>
      </w:r>
      <w:r>
        <w:rPr>
          <w:rFonts w:ascii="Times New Roman" w:hAnsi="Times New Roman" w:cs="Arial"/>
          <w:i/>
          <w:sz w:val="24"/>
        </w:rPr>
        <w:t>0/1</w:t>
      </w:r>
      <w:r>
        <w:rPr>
          <w:rFonts w:ascii="Times New Roman" w:hAnsi="Times New Roman" w:cs="Arial"/>
          <w:sz w:val="24"/>
        </w:rPr>
        <w:t xml:space="preserve"> in Table S3 above (which </w:t>
      </w:r>
      <w:r w:rsidRPr="0022753E">
        <w:rPr>
          <w:rFonts w:ascii="Times New Roman" w:hAnsi="Times New Roman" w:cs="Arial"/>
          <w:sz w:val="24"/>
        </w:rPr>
        <w:t xml:space="preserve">models </w:t>
      </w:r>
      <w:r>
        <w:rPr>
          <w:rFonts w:ascii="Times New Roman" w:hAnsi="Times New Roman" w:cs="Arial"/>
          <w:sz w:val="24"/>
        </w:rPr>
        <w:t>how animals’ behavior changes when switching from a 0/0 trial to a 0/1 trial)</w:t>
      </w:r>
      <w:r w:rsidRPr="0022753E">
        <w:rPr>
          <w:rFonts w:ascii="Times New Roman" w:hAnsi="Times New Roman" w:cs="Arial"/>
          <w:sz w:val="24"/>
        </w:rPr>
        <w:t xml:space="preserve">, </w:t>
      </w:r>
      <w:r>
        <w:rPr>
          <w:rFonts w:ascii="Times New Roman" w:hAnsi="Times New Roman" w:cs="Arial"/>
          <w:sz w:val="24"/>
        </w:rPr>
        <w:t xml:space="preserve">when </w:t>
      </w:r>
      <w:r w:rsidRPr="0022753E">
        <w:rPr>
          <w:rFonts w:ascii="Times New Roman" w:hAnsi="Times New Roman" w:cs="Arial"/>
          <w:sz w:val="24"/>
        </w:rPr>
        <w:t xml:space="preserve">dropping out each of the animals in the sample one at a time. One of the animals contributed no data to this condition (206), but for </w:t>
      </w:r>
      <w:r>
        <w:rPr>
          <w:rFonts w:ascii="Times New Roman" w:hAnsi="Times New Roman" w:cs="Arial"/>
          <w:sz w:val="24"/>
        </w:rPr>
        <w:t xml:space="preserve">most of </w:t>
      </w:r>
      <w:r w:rsidRPr="0022753E">
        <w:rPr>
          <w:rFonts w:ascii="Times New Roman" w:hAnsi="Times New Roman" w:cs="Arial"/>
          <w:sz w:val="24"/>
        </w:rPr>
        <w:t>the other animals excluding their data does not change the valence of the coefficient</w:t>
      </w:r>
      <w:r>
        <w:rPr>
          <w:rFonts w:ascii="Times New Roman" w:hAnsi="Times New Roman" w:cs="Arial"/>
          <w:sz w:val="24"/>
        </w:rPr>
        <w:t>, nor does it dramatically change the magnitude of the coefficient (which remains larger than it’s standard error).</w:t>
      </w:r>
      <w:r w:rsidRPr="0022753E">
        <w:rPr>
          <w:rFonts w:ascii="Times New Roman" w:hAnsi="Times New Roman" w:cs="Arial"/>
          <w:sz w:val="24"/>
        </w:rPr>
        <w:t xml:space="preserve"> This means that even though there is substantial variation in the amount of data each animal contributes to the sample, the </w:t>
      </w:r>
      <w:r>
        <w:rPr>
          <w:rFonts w:ascii="Times New Roman" w:hAnsi="Times New Roman" w:cs="Arial"/>
          <w:sz w:val="24"/>
        </w:rPr>
        <w:t>pattern</w:t>
      </w:r>
      <w:r w:rsidRPr="0022753E">
        <w:rPr>
          <w:rFonts w:ascii="Times New Roman" w:hAnsi="Times New Roman" w:cs="Arial"/>
          <w:sz w:val="24"/>
        </w:rPr>
        <w:t xml:space="preserve"> is not </w:t>
      </w:r>
      <w:r>
        <w:rPr>
          <w:rFonts w:ascii="Times New Roman" w:hAnsi="Times New Roman" w:cs="Arial"/>
          <w:sz w:val="24"/>
        </w:rPr>
        <w:t xml:space="preserve">likely to </w:t>
      </w:r>
      <w:r w:rsidRPr="0022753E">
        <w:rPr>
          <w:rFonts w:ascii="Times New Roman" w:hAnsi="Times New Roman" w:cs="Arial"/>
          <w:sz w:val="24"/>
        </w:rPr>
        <w:t xml:space="preserve">be entirely driven by any one </w:t>
      </w:r>
      <w:r>
        <w:rPr>
          <w:rFonts w:ascii="Times New Roman" w:hAnsi="Times New Roman" w:cs="Arial"/>
          <w:sz w:val="24"/>
        </w:rPr>
        <w:t>animal</w:t>
      </w:r>
      <w:r w:rsidRPr="0022753E">
        <w:rPr>
          <w:rFonts w:ascii="Times New Roman" w:hAnsi="Times New Roman" w:cs="Arial"/>
          <w:sz w:val="24"/>
        </w:rPr>
        <w:t>.</w:t>
      </w:r>
    </w:p>
    <w:p w:rsidR="00B70315" w:rsidRPr="0022753E" w:rsidRDefault="00B70315" w:rsidP="00B70315">
      <w:pPr>
        <w:pStyle w:val="ManuscriptText"/>
        <w:rPr>
          <w:rFonts w:ascii="Times New Roman" w:hAnsi="Times New Roman" w:cs="Arial"/>
          <w:sz w:val="24"/>
        </w:rPr>
      </w:pPr>
    </w:p>
    <w:tbl>
      <w:tblPr>
        <w:tblW w:w="6659" w:type="dxa"/>
        <w:jc w:val="center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430"/>
        <w:gridCol w:w="1430"/>
        <w:gridCol w:w="1296"/>
        <w:gridCol w:w="1070"/>
      </w:tblGrid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Actor animal</w:t>
            </w:r>
            <w:r w:rsidRPr="0022753E">
              <w:rPr>
                <w:rFonts w:ascii="Times New Roman" w:hAnsi="Times New Roman" w:cs="Arial"/>
              </w:rPr>
              <w:t xml:space="preserve"> excluded from analysis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i/>
              </w:rPr>
              <w:t>N</w:t>
            </w:r>
            <w:r>
              <w:rPr>
                <w:rFonts w:ascii="Times New Roman" w:hAnsi="Times New Roman" w:cs="Arial"/>
              </w:rPr>
              <w:t xml:space="preserve"> observations for this A</w:t>
            </w:r>
            <w:r w:rsidRPr="0022753E">
              <w:rPr>
                <w:rFonts w:ascii="Times New Roman" w:hAnsi="Times New Roman" w:cs="Arial"/>
              </w:rPr>
              <w:t>ctor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i/>
              </w:rPr>
              <w:t>N</w:t>
            </w:r>
            <w:r w:rsidRPr="0022753E">
              <w:rPr>
                <w:rFonts w:ascii="Times New Roman" w:hAnsi="Times New Roman" w:cs="Arial"/>
              </w:rPr>
              <w:t xml:space="preserve"> observations remaining in sample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</w:t>
            </w:r>
            <w:r w:rsidRPr="0022753E">
              <w:rPr>
                <w:rFonts w:ascii="Times New Roman" w:hAnsi="Times New Roman" w:cs="Arial"/>
              </w:rPr>
              <w:t>oefficient</w:t>
            </w:r>
            <w:r>
              <w:rPr>
                <w:rFonts w:ascii="Times New Roman" w:hAnsi="Times New Roman" w:cs="Arial"/>
              </w:rPr>
              <w:t xml:space="preserve"> for moving from </w:t>
            </w:r>
          </w:p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0/0 to 0/1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</w:t>
            </w:r>
            <w:r w:rsidRPr="0022753E">
              <w:rPr>
                <w:rFonts w:ascii="Times New Roman" w:hAnsi="Times New Roman" w:cs="Arial"/>
              </w:rPr>
              <w:t>tandard error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proofErr w:type="gramStart"/>
            <w:r w:rsidRPr="0022753E">
              <w:rPr>
                <w:rFonts w:ascii="Times New Roman" w:hAnsi="Times New Roman" w:cs="Arial"/>
              </w:rPr>
              <w:t>none</w:t>
            </w:r>
            <w:proofErr w:type="gramEnd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150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1.24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.62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35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115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.87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.75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202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22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128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1.22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.62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10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140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1.22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.62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204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146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1.42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.69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205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149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1.26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.62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206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0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301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43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107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1.03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.65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302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26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124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1.98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.83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303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7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143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1.12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.63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306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148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1.12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.63</w:t>
            </w:r>
          </w:p>
        </w:tc>
      </w:tr>
      <w:tr w:rsidR="00B70315" w:rsidRPr="0022753E" w:rsidTr="001524CD">
        <w:trPr>
          <w:trHeight w:val="260"/>
          <w:jc w:val="center"/>
        </w:trPr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201 &amp; 302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61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89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2.08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0315" w:rsidRPr="0022753E" w:rsidRDefault="00B70315" w:rsidP="001524CD">
            <w:pPr>
              <w:jc w:val="center"/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>1.24</w:t>
            </w:r>
          </w:p>
        </w:tc>
      </w:tr>
    </w:tbl>
    <w:p w:rsidR="00B70315" w:rsidRPr="0022753E" w:rsidRDefault="00B70315" w:rsidP="00B70315">
      <w:pPr>
        <w:pStyle w:val="ManuscriptText"/>
        <w:rPr>
          <w:rFonts w:ascii="Times New Roman" w:hAnsi="Times New Roman" w:cs="Arial"/>
          <w:sz w:val="24"/>
        </w:rPr>
      </w:pPr>
    </w:p>
    <w:p w:rsidR="00B70315" w:rsidRDefault="00B70315" w:rsidP="00B70315">
      <w:pPr>
        <w:pStyle w:val="ManuscriptText"/>
        <w:rPr>
          <w:rFonts w:ascii="Times New Roman" w:hAnsi="Times New Roman" w:cs="Arial"/>
          <w:b/>
          <w:sz w:val="24"/>
        </w:rPr>
      </w:pPr>
    </w:p>
    <w:p w:rsidR="00C200BB" w:rsidRDefault="00C200BB">
      <w:bookmarkStart w:id="0" w:name="_GoBack"/>
      <w:bookmarkEnd w:id="0"/>
    </w:p>
    <w:sectPr w:rsidR="00C200BB" w:rsidSect="00C200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5"/>
    <w:rsid w:val="00B70315"/>
    <w:rsid w:val="00C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C6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Text"/>
    <w:qFormat/>
    <w:rsid w:val="00B7031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ext">
    <w:name w:val="ManuscriptText"/>
    <w:qFormat/>
    <w:rsid w:val="00B70315"/>
    <w:pPr>
      <w:spacing w:after="200"/>
    </w:pPr>
    <w:rPr>
      <w:rFonts w:ascii="Arial" w:eastAsiaTheme="minorHAnsi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Text"/>
    <w:qFormat/>
    <w:rsid w:val="00B7031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ext">
    <w:name w:val="ManuscriptText"/>
    <w:qFormat/>
    <w:rsid w:val="00B70315"/>
    <w:pPr>
      <w:spacing w:after="200"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House</dc:creator>
  <cp:keywords/>
  <dc:description/>
  <cp:lastModifiedBy>Bailey House</cp:lastModifiedBy>
  <cp:revision>1</cp:revision>
  <dcterms:created xsi:type="dcterms:W3CDTF">2014-07-21T11:17:00Z</dcterms:created>
  <dcterms:modified xsi:type="dcterms:W3CDTF">2014-07-21T11:18:00Z</dcterms:modified>
</cp:coreProperties>
</file>