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26" w:rsidRDefault="00216626" w:rsidP="00216626">
      <w:pPr>
        <w:spacing w:line="240" w:lineRule="auto"/>
        <w:contextualSpacing/>
        <w:rPr>
          <w:rFonts w:ascii="Times New Roman" w:eastAsia="Times New Roman" w:hAnsi="Times New Roman" w:cs="Times New Roman"/>
          <w:b/>
          <w:bCs/>
          <w:kern w:val="32"/>
          <w:sz w:val="32"/>
          <w:szCs w:val="32"/>
          <w:lang w:eastAsia="en-AU"/>
        </w:rPr>
      </w:pPr>
      <w:proofErr w:type="gramStart"/>
      <w:r>
        <w:rPr>
          <w:rFonts w:ascii="Times New Roman" w:eastAsia="Times New Roman" w:hAnsi="Times New Roman" w:cs="Times New Roman"/>
          <w:b/>
          <w:bCs/>
          <w:kern w:val="32"/>
          <w:sz w:val="32"/>
          <w:szCs w:val="32"/>
          <w:lang w:val="en" w:eastAsia="en-AU"/>
        </w:rPr>
        <w:t>Table</w:t>
      </w:r>
      <w:r w:rsidRPr="00830A57">
        <w:rPr>
          <w:rFonts w:ascii="Times New Roman" w:eastAsia="Times New Roman" w:hAnsi="Times New Roman" w:cs="Times New Roman"/>
          <w:b/>
          <w:bCs/>
          <w:kern w:val="32"/>
          <w:sz w:val="32"/>
          <w:szCs w:val="32"/>
          <w:lang w:val="en" w:eastAsia="en-AU"/>
        </w:rPr>
        <w:t xml:space="preserve"> S</w:t>
      </w:r>
      <w:r w:rsidR="00CF6BA2">
        <w:rPr>
          <w:rFonts w:ascii="Times New Roman" w:eastAsia="Times New Roman" w:hAnsi="Times New Roman" w:cs="Times New Roman"/>
          <w:b/>
          <w:bCs/>
          <w:kern w:val="32"/>
          <w:sz w:val="32"/>
          <w:szCs w:val="32"/>
          <w:lang w:val="en" w:eastAsia="en-AU"/>
        </w:rPr>
        <w:t>1</w:t>
      </w:r>
      <w:r w:rsidR="005F5A04">
        <w:rPr>
          <w:rFonts w:ascii="Times New Roman" w:eastAsia="Times New Roman" w:hAnsi="Times New Roman" w:cs="Times New Roman"/>
          <w:b/>
          <w:bCs/>
          <w:kern w:val="32"/>
          <w:sz w:val="32"/>
          <w:szCs w:val="32"/>
          <w:lang w:val="en" w:eastAsia="en-AU"/>
        </w:rPr>
        <w:t>-</w:t>
      </w:r>
      <w:r>
        <w:rPr>
          <w:rFonts w:ascii="Times New Roman" w:eastAsia="Times New Roman" w:hAnsi="Times New Roman" w:cs="Times New Roman"/>
          <w:b/>
          <w:bCs/>
          <w:kern w:val="32"/>
          <w:sz w:val="32"/>
          <w:szCs w:val="32"/>
          <w:lang w:val="en" w:eastAsia="en-AU"/>
        </w:rPr>
        <w:t xml:space="preserve">ALT </w:t>
      </w:r>
      <w:r>
        <w:rPr>
          <w:rFonts w:ascii="Times New Roman" w:eastAsia="Times New Roman" w:hAnsi="Times New Roman" w:cs="Times New Roman"/>
          <w:b/>
          <w:bCs/>
          <w:kern w:val="32"/>
          <w:sz w:val="32"/>
          <w:szCs w:val="32"/>
          <w:lang w:eastAsia="en-AU"/>
        </w:rPr>
        <w:t>Definition Classification.</w:t>
      </w:r>
      <w:proofErr w:type="gramEnd"/>
      <w:r>
        <w:rPr>
          <w:rFonts w:ascii="Times New Roman" w:eastAsia="Times New Roman" w:hAnsi="Times New Roman" w:cs="Times New Roman"/>
          <w:b/>
          <w:bCs/>
          <w:kern w:val="32"/>
          <w:sz w:val="32"/>
          <w:szCs w:val="32"/>
          <w:lang w:eastAsia="en-AU"/>
        </w:rPr>
        <w:t xml:space="preserve"> </w:t>
      </w:r>
    </w:p>
    <w:p w:rsidR="00723DCF" w:rsidRDefault="00723DCF" w:rsidP="00216626">
      <w:pPr>
        <w:spacing w:line="240" w:lineRule="auto"/>
        <w:contextualSpacing/>
        <w:rPr>
          <w:rFonts w:ascii="Times New Roman" w:eastAsia="Times New Roman" w:hAnsi="Times New Roman" w:cs="Times New Roman"/>
          <w:b/>
          <w:bCs/>
          <w:kern w:val="32"/>
          <w:sz w:val="32"/>
          <w:szCs w:val="32"/>
          <w:lang w:eastAsia="en-AU"/>
        </w:rPr>
      </w:pPr>
    </w:p>
    <w:p w:rsidR="00723DCF" w:rsidRPr="008A55E0" w:rsidRDefault="008B2697" w:rsidP="00023C0E">
      <w:pPr>
        <w:spacing w:line="360" w:lineRule="auto"/>
        <w:contextualSpacing/>
        <w:rPr>
          <w:rFonts w:ascii="Times New Roman" w:eastAsia="Times New Roman" w:hAnsi="Times New Roman" w:cs="Times New Roman"/>
          <w:bCs/>
          <w:kern w:val="32"/>
          <w:sz w:val="24"/>
          <w:szCs w:val="24"/>
          <w:lang w:val="en" w:eastAsia="en-AU"/>
        </w:rPr>
      </w:pPr>
      <w:r w:rsidRPr="008A55E0">
        <w:rPr>
          <w:rFonts w:ascii="Times New Roman" w:eastAsia="Times New Roman" w:hAnsi="Times New Roman" w:cs="Times New Roman"/>
          <w:bCs/>
          <w:kern w:val="32"/>
          <w:sz w:val="24"/>
          <w:szCs w:val="24"/>
          <w:lang w:val="en" w:eastAsia="en-AU"/>
        </w:rPr>
        <w:t>Due</w:t>
      </w:r>
      <w:r w:rsidRPr="008A55E0">
        <w:rPr>
          <w:rFonts w:ascii="Times New Roman" w:eastAsia="Times New Roman" w:hAnsi="Times New Roman" w:cs="Times New Roman"/>
          <w:bCs/>
          <w:kern w:val="32"/>
          <w:sz w:val="24"/>
          <w:szCs w:val="24"/>
          <w:lang w:eastAsia="en-AU"/>
        </w:rPr>
        <w:t xml:space="preserve"> to the fact that the assisted living technology field is lacking a standardized taxonomy of the technologies being assessed,</w:t>
      </w:r>
      <w:r w:rsidRPr="008A55E0">
        <w:rPr>
          <w:rFonts w:ascii="Times New Roman" w:eastAsia="Times New Roman" w:hAnsi="Times New Roman" w:cs="Times New Roman"/>
          <w:bCs/>
          <w:kern w:val="32"/>
          <w:sz w:val="24"/>
          <w:szCs w:val="24"/>
          <w:lang w:val="en" w:eastAsia="en-AU"/>
        </w:rPr>
        <w:t xml:space="preserve"> d</w:t>
      </w:r>
      <w:r w:rsidR="00723DCF" w:rsidRPr="008A55E0">
        <w:rPr>
          <w:rFonts w:ascii="Times New Roman" w:eastAsia="Times New Roman" w:hAnsi="Times New Roman" w:cs="Times New Roman"/>
          <w:bCs/>
          <w:kern w:val="32"/>
          <w:sz w:val="24"/>
          <w:szCs w:val="24"/>
          <w:lang w:val="en" w:eastAsia="en-AU"/>
        </w:rPr>
        <w:t xml:space="preserve">efinition-classification data were extracted as illustrated in the tables below. The two main categories are those ALTs which can be considered: </w:t>
      </w:r>
      <w:r w:rsidR="00723DCF" w:rsidRPr="008A55E0">
        <w:rPr>
          <w:rFonts w:ascii="Times New Roman" w:eastAsia="Times New Roman" w:hAnsi="Times New Roman" w:cs="Times New Roman"/>
          <w:bCs/>
          <w:i/>
          <w:kern w:val="32"/>
          <w:sz w:val="24"/>
          <w:szCs w:val="24"/>
          <w:lang w:val="en" w:eastAsia="en-AU"/>
        </w:rPr>
        <w:t>Home Modif</w:t>
      </w:r>
      <w:r w:rsidR="00FC2D43" w:rsidRPr="008A55E0">
        <w:rPr>
          <w:rFonts w:ascii="Times New Roman" w:eastAsia="Times New Roman" w:hAnsi="Times New Roman" w:cs="Times New Roman"/>
          <w:bCs/>
          <w:i/>
          <w:kern w:val="32"/>
          <w:sz w:val="24"/>
          <w:szCs w:val="24"/>
          <w:lang w:val="en" w:eastAsia="en-AU"/>
        </w:rPr>
        <w:t>ications</w:t>
      </w:r>
      <w:r w:rsidR="00FC2D43" w:rsidRPr="008A55E0">
        <w:rPr>
          <w:rFonts w:ascii="Times New Roman" w:eastAsia="Times New Roman" w:hAnsi="Times New Roman" w:cs="Times New Roman"/>
          <w:bCs/>
          <w:kern w:val="32"/>
          <w:sz w:val="24"/>
          <w:szCs w:val="24"/>
          <w:lang w:val="en" w:eastAsia="en-AU"/>
        </w:rPr>
        <w:t xml:space="preserve"> (Table </w:t>
      </w:r>
      <w:r w:rsidR="00CD66B6">
        <w:rPr>
          <w:rFonts w:ascii="Times New Roman" w:eastAsia="Times New Roman" w:hAnsi="Times New Roman" w:cs="Times New Roman"/>
          <w:bCs/>
          <w:kern w:val="32"/>
          <w:sz w:val="24"/>
          <w:szCs w:val="24"/>
          <w:lang w:val="en" w:eastAsia="en-AU"/>
        </w:rPr>
        <w:t>A</w:t>
      </w:r>
      <w:r w:rsidR="00FC2D43" w:rsidRPr="008A55E0">
        <w:rPr>
          <w:rFonts w:ascii="Times New Roman" w:eastAsia="Times New Roman" w:hAnsi="Times New Roman" w:cs="Times New Roman"/>
          <w:bCs/>
          <w:kern w:val="32"/>
          <w:sz w:val="24"/>
          <w:szCs w:val="24"/>
          <w:lang w:val="en" w:eastAsia="en-AU"/>
        </w:rPr>
        <w:t xml:space="preserve">) </w:t>
      </w:r>
      <w:r w:rsidR="00D02DF0" w:rsidRPr="008A55E0">
        <w:rPr>
          <w:rFonts w:ascii="Times New Roman" w:eastAsia="Times New Roman" w:hAnsi="Times New Roman" w:cs="Times New Roman"/>
          <w:bCs/>
          <w:kern w:val="32"/>
          <w:sz w:val="24"/>
          <w:szCs w:val="24"/>
          <w:lang w:val="en" w:eastAsia="en-AU"/>
        </w:rPr>
        <w:t>or</w:t>
      </w:r>
      <w:r w:rsidR="00FC2D43" w:rsidRPr="008A55E0">
        <w:rPr>
          <w:rFonts w:ascii="Times New Roman" w:eastAsia="Times New Roman" w:hAnsi="Times New Roman" w:cs="Times New Roman"/>
          <w:bCs/>
          <w:kern w:val="32"/>
          <w:sz w:val="24"/>
          <w:szCs w:val="24"/>
          <w:lang w:val="en" w:eastAsia="en-AU"/>
        </w:rPr>
        <w:t xml:space="preserve"> </w:t>
      </w:r>
      <w:r w:rsidR="00FC2D43" w:rsidRPr="008A55E0">
        <w:rPr>
          <w:rFonts w:ascii="Times New Roman" w:eastAsia="Times New Roman" w:hAnsi="Times New Roman" w:cs="Times New Roman"/>
          <w:bCs/>
          <w:i/>
          <w:kern w:val="32"/>
          <w:sz w:val="24"/>
          <w:szCs w:val="24"/>
          <w:lang w:val="en" w:eastAsia="en-AU"/>
        </w:rPr>
        <w:t>Remote Patient-Health P</w:t>
      </w:r>
      <w:r w:rsidR="00723DCF" w:rsidRPr="008A55E0">
        <w:rPr>
          <w:rFonts w:ascii="Times New Roman" w:eastAsia="Times New Roman" w:hAnsi="Times New Roman" w:cs="Times New Roman"/>
          <w:bCs/>
          <w:i/>
          <w:kern w:val="32"/>
          <w:sz w:val="24"/>
          <w:szCs w:val="24"/>
          <w:lang w:val="en" w:eastAsia="en-AU"/>
        </w:rPr>
        <w:t xml:space="preserve">rofessional </w:t>
      </w:r>
      <w:r w:rsidR="00FC2D43" w:rsidRPr="008A55E0">
        <w:rPr>
          <w:rFonts w:ascii="Times New Roman" w:eastAsia="Times New Roman" w:hAnsi="Times New Roman" w:cs="Times New Roman"/>
          <w:bCs/>
          <w:i/>
          <w:kern w:val="32"/>
          <w:sz w:val="24"/>
          <w:szCs w:val="24"/>
          <w:lang w:val="en" w:eastAsia="en-AU"/>
        </w:rPr>
        <w:t>C</w:t>
      </w:r>
      <w:r w:rsidR="00723DCF" w:rsidRPr="008A55E0">
        <w:rPr>
          <w:rFonts w:ascii="Times New Roman" w:eastAsia="Times New Roman" w:hAnsi="Times New Roman" w:cs="Times New Roman"/>
          <w:bCs/>
          <w:i/>
          <w:kern w:val="32"/>
          <w:sz w:val="24"/>
          <w:szCs w:val="24"/>
          <w:lang w:val="en" w:eastAsia="en-AU"/>
        </w:rPr>
        <w:t>ommunication</w:t>
      </w:r>
      <w:r w:rsidR="00723DCF" w:rsidRPr="008A55E0">
        <w:rPr>
          <w:rFonts w:ascii="Times New Roman" w:eastAsia="Times New Roman" w:hAnsi="Times New Roman" w:cs="Times New Roman"/>
          <w:bCs/>
          <w:kern w:val="32"/>
          <w:sz w:val="24"/>
          <w:szCs w:val="24"/>
          <w:lang w:val="en" w:eastAsia="en-AU"/>
        </w:rPr>
        <w:t xml:space="preserve"> (Table </w:t>
      </w:r>
      <w:r w:rsidR="00CD66B6">
        <w:rPr>
          <w:rFonts w:ascii="Times New Roman" w:eastAsia="Times New Roman" w:hAnsi="Times New Roman" w:cs="Times New Roman"/>
          <w:bCs/>
          <w:kern w:val="32"/>
          <w:sz w:val="24"/>
          <w:szCs w:val="24"/>
          <w:lang w:val="en" w:eastAsia="en-AU"/>
        </w:rPr>
        <w:t>B</w:t>
      </w:r>
      <w:r w:rsidR="00723DCF" w:rsidRPr="008A55E0">
        <w:rPr>
          <w:rFonts w:ascii="Times New Roman" w:eastAsia="Times New Roman" w:hAnsi="Times New Roman" w:cs="Times New Roman"/>
          <w:bCs/>
          <w:kern w:val="32"/>
          <w:sz w:val="24"/>
          <w:szCs w:val="24"/>
          <w:lang w:val="en" w:eastAsia="en-AU"/>
        </w:rPr>
        <w:t xml:space="preserve">). </w:t>
      </w:r>
    </w:p>
    <w:p w:rsidR="00FC441C" w:rsidRDefault="00FC441C" w:rsidP="00221EE6">
      <w:pPr>
        <w:rPr>
          <w:rFonts w:ascii="SabonLTStd-Roman" w:eastAsia="Times New Roman" w:hAnsi="SabonLTStd-Roman" w:cs="Times New Roman"/>
          <w:sz w:val="24"/>
          <w:szCs w:val="24"/>
          <w:lang w:eastAsia="en-GB"/>
        </w:rPr>
      </w:pPr>
    </w:p>
    <w:p w:rsidR="00221EE6" w:rsidRPr="000C1A59" w:rsidRDefault="0034431B" w:rsidP="00221EE6">
      <w:pPr>
        <w:rPr>
          <w:b/>
        </w:rPr>
      </w:pPr>
      <w:r w:rsidRPr="000C1A59">
        <w:rPr>
          <w:b/>
        </w:rPr>
        <w:t xml:space="preserve">Table </w:t>
      </w:r>
      <w:r w:rsidR="00CD66B6">
        <w:rPr>
          <w:b/>
        </w:rPr>
        <w:t>A)</w:t>
      </w:r>
      <w:r w:rsidR="00B90CC7" w:rsidRPr="000C1A59">
        <w:rPr>
          <w:b/>
        </w:rPr>
        <w:t xml:space="preserve"> </w:t>
      </w:r>
      <w:r w:rsidRPr="000C1A59">
        <w:rPr>
          <w:b/>
        </w:rPr>
        <w:t>Home Modifications</w:t>
      </w:r>
    </w:p>
    <w:tbl>
      <w:tblPr>
        <w:tblStyle w:val="TableGrid"/>
        <w:tblW w:w="0" w:type="auto"/>
        <w:tblLook w:val="04A0" w:firstRow="1" w:lastRow="0" w:firstColumn="1" w:lastColumn="0" w:noHBand="0" w:noVBand="1"/>
      </w:tblPr>
      <w:tblGrid>
        <w:gridCol w:w="2093"/>
        <w:gridCol w:w="992"/>
        <w:gridCol w:w="3260"/>
        <w:gridCol w:w="2897"/>
      </w:tblGrid>
      <w:tr w:rsidR="00221EE6" w:rsidTr="00CC1860">
        <w:tc>
          <w:tcPr>
            <w:tcW w:w="2093" w:type="dxa"/>
          </w:tcPr>
          <w:p w:rsidR="00221EE6" w:rsidRPr="00CC1860" w:rsidRDefault="00221EE6" w:rsidP="00221EE6">
            <w:pPr>
              <w:rPr>
                <w:b/>
              </w:rPr>
            </w:pPr>
            <w:r w:rsidRPr="00CC1860">
              <w:rPr>
                <w:b/>
              </w:rPr>
              <w:t>Year, Authors</w:t>
            </w:r>
          </w:p>
        </w:tc>
        <w:tc>
          <w:tcPr>
            <w:tcW w:w="992" w:type="dxa"/>
          </w:tcPr>
          <w:p w:rsidR="00221EE6" w:rsidRPr="00CC1860" w:rsidRDefault="00221EE6" w:rsidP="00CC1860">
            <w:pPr>
              <w:jc w:val="center"/>
              <w:rPr>
                <w:b/>
              </w:rPr>
            </w:pPr>
            <w:r w:rsidRPr="00CC1860">
              <w:rPr>
                <w:b/>
              </w:rPr>
              <w:t>Country</w:t>
            </w:r>
          </w:p>
        </w:tc>
        <w:tc>
          <w:tcPr>
            <w:tcW w:w="3260" w:type="dxa"/>
          </w:tcPr>
          <w:p w:rsidR="00221EE6" w:rsidRPr="00CC1860" w:rsidRDefault="00221EE6" w:rsidP="00C9312E">
            <w:pPr>
              <w:rPr>
                <w:b/>
              </w:rPr>
            </w:pPr>
            <w:r w:rsidRPr="00CC1860">
              <w:rPr>
                <w:b/>
              </w:rPr>
              <w:t>Name</w:t>
            </w:r>
            <w:r w:rsidR="00C9312E" w:rsidRPr="00CC1860">
              <w:rPr>
                <w:b/>
              </w:rPr>
              <w:t>(s)</w:t>
            </w:r>
            <w:r w:rsidRPr="00CC1860">
              <w:rPr>
                <w:b/>
              </w:rPr>
              <w:t xml:space="preserve"> of ALT</w:t>
            </w:r>
            <w:r w:rsidR="00C9312E" w:rsidRPr="00CC1860">
              <w:rPr>
                <w:b/>
              </w:rPr>
              <w:t xml:space="preserve"> in study</w:t>
            </w:r>
          </w:p>
        </w:tc>
        <w:tc>
          <w:tcPr>
            <w:tcW w:w="2897" w:type="dxa"/>
          </w:tcPr>
          <w:p w:rsidR="00221EE6" w:rsidRPr="00CC1860" w:rsidRDefault="00221EE6" w:rsidP="00221EE6">
            <w:pPr>
              <w:rPr>
                <w:b/>
              </w:rPr>
            </w:pPr>
            <w:r w:rsidRPr="00CC1860">
              <w:rPr>
                <w:b/>
              </w:rPr>
              <w:t>Details of ALT</w:t>
            </w:r>
          </w:p>
        </w:tc>
      </w:tr>
      <w:tr w:rsidR="00221EE6" w:rsidTr="00CC1860">
        <w:tc>
          <w:tcPr>
            <w:tcW w:w="2093" w:type="dxa"/>
          </w:tcPr>
          <w:p w:rsidR="00221EE6" w:rsidRPr="00221EE6" w:rsidRDefault="00221EE6" w:rsidP="00221EE6">
            <w:r w:rsidRPr="00221EE6">
              <w:t>1999</w:t>
            </w:r>
            <w:r>
              <w:t>,</w:t>
            </w:r>
            <w:r w:rsidRPr="00221EE6">
              <w:t xml:space="preserve"> Mann W C, </w:t>
            </w:r>
            <w:proofErr w:type="spellStart"/>
            <w:r w:rsidRPr="00221EE6">
              <w:t>Ottenbacher</w:t>
            </w:r>
            <w:proofErr w:type="spellEnd"/>
            <w:r w:rsidRPr="00221EE6">
              <w:t xml:space="preserve"> K J, </w:t>
            </w:r>
            <w:proofErr w:type="spellStart"/>
            <w:r w:rsidRPr="00221EE6">
              <w:t>Fraas</w:t>
            </w:r>
            <w:proofErr w:type="spellEnd"/>
            <w:r w:rsidRPr="00221EE6">
              <w:t xml:space="preserve"> L, Tomita M, Granger C V</w:t>
            </w:r>
          </w:p>
        </w:tc>
        <w:tc>
          <w:tcPr>
            <w:tcW w:w="992" w:type="dxa"/>
          </w:tcPr>
          <w:p w:rsidR="00221EE6" w:rsidRDefault="00221EE6" w:rsidP="00CC1860">
            <w:pPr>
              <w:jc w:val="center"/>
            </w:pPr>
            <w:r>
              <w:t>USA</w:t>
            </w:r>
          </w:p>
        </w:tc>
        <w:tc>
          <w:tcPr>
            <w:tcW w:w="3260" w:type="dxa"/>
          </w:tcPr>
          <w:p w:rsidR="00221EE6" w:rsidRDefault="00C9312E" w:rsidP="00221EE6">
            <w:r>
              <w:t xml:space="preserve">1. </w:t>
            </w:r>
            <w:r w:rsidR="00221EE6" w:rsidRPr="00221EE6">
              <w:t>Assistive technology</w:t>
            </w:r>
          </w:p>
        </w:tc>
        <w:tc>
          <w:tcPr>
            <w:tcW w:w="2897" w:type="dxa"/>
          </w:tcPr>
          <w:p w:rsidR="00221EE6" w:rsidRPr="00221EE6" w:rsidRDefault="00221EE6" w:rsidP="00221EE6">
            <w:r w:rsidRPr="00221EE6">
              <w:t xml:space="preserve">Canes, walkers, </w:t>
            </w:r>
            <w:r>
              <w:t xml:space="preserve">and </w:t>
            </w:r>
            <w:r w:rsidRPr="00221EE6">
              <w:t>bath benches</w:t>
            </w:r>
            <w:r>
              <w:t xml:space="preserve"> added to home</w:t>
            </w:r>
            <w:r w:rsidRPr="00221EE6">
              <w:t>.</w:t>
            </w:r>
          </w:p>
        </w:tc>
      </w:tr>
      <w:tr w:rsidR="0034431B" w:rsidTr="00CC1860">
        <w:tc>
          <w:tcPr>
            <w:tcW w:w="2093" w:type="dxa"/>
          </w:tcPr>
          <w:p w:rsidR="0034431B" w:rsidRPr="00221EE6" w:rsidRDefault="0034431B" w:rsidP="00221EE6"/>
        </w:tc>
        <w:tc>
          <w:tcPr>
            <w:tcW w:w="992" w:type="dxa"/>
          </w:tcPr>
          <w:p w:rsidR="0034431B" w:rsidRDefault="0034431B" w:rsidP="00CC1860">
            <w:pPr>
              <w:jc w:val="center"/>
            </w:pPr>
          </w:p>
        </w:tc>
        <w:tc>
          <w:tcPr>
            <w:tcW w:w="3260" w:type="dxa"/>
          </w:tcPr>
          <w:p w:rsidR="0034431B" w:rsidRPr="00221EE6" w:rsidRDefault="00C9312E" w:rsidP="00221EE6">
            <w:r>
              <w:t xml:space="preserve">2. </w:t>
            </w:r>
            <w:r w:rsidR="0034431B" w:rsidRPr="0034431B">
              <w:t>Home environment interventions</w:t>
            </w:r>
          </w:p>
        </w:tc>
        <w:tc>
          <w:tcPr>
            <w:tcW w:w="2897" w:type="dxa"/>
          </w:tcPr>
          <w:p w:rsidR="0034431B" w:rsidRPr="00221EE6" w:rsidRDefault="0034431B" w:rsidP="00221EE6">
            <w:r w:rsidRPr="0034431B">
              <w:t>Ramps, lowering of cabinets, removal of throw rugs.</w:t>
            </w:r>
          </w:p>
        </w:tc>
      </w:tr>
      <w:tr w:rsidR="00B670B8" w:rsidTr="00CC1860">
        <w:tc>
          <w:tcPr>
            <w:tcW w:w="2093" w:type="dxa"/>
          </w:tcPr>
          <w:p w:rsidR="00B670B8" w:rsidRPr="00221EE6" w:rsidRDefault="00B670B8" w:rsidP="00221EE6">
            <w:r w:rsidRPr="00B670B8">
              <w:t>2009</w:t>
            </w:r>
            <w:r>
              <w:t>,</w:t>
            </w:r>
            <w:r w:rsidRPr="00B670B8">
              <w:t xml:space="preserve"> Bendixen R M, Levy C E, Olive E S, </w:t>
            </w:r>
            <w:proofErr w:type="spellStart"/>
            <w:r w:rsidRPr="00B670B8">
              <w:t>Kobb</w:t>
            </w:r>
            <w:proofErr w:type="spellEnd"/>
            <w:r w:rsidRPr="00B670B8">
              <w:t xml:space="preserve"> R F, Mann W C</w:t>
            </w:r>
          </w:p>
        </w:tc>
        <w:tc>
          <w:tcPr>
            <w:tcW w:w="992" w:type="dxa"/>
          </w:tcPr>
          <w:p w:rsidR="00B670B8" w:rsidRDefault="00B670B8" w:rsidP="00CC1860">
            <w:pPr>
              <w:jc w:val="center"/>
            </w:pPr>
            <w:r>
              <w:t>USA</w:t>
            </w:r>
          </w:p>
        </w:tc>
        <w:tc>
          <w:tcPr>
            <w:tcW w:w="3260" w:type="dxa"/>
          </w:tcPr>
          <w:p w:rsidR="00B670B8" w:rsidRPr="00B670B8" w:rsidRDefault="00B670B8" w:rsidP="00221EE6">
            <w:pPr>
              <w:rPr>
                <w:vertAlign w:val="superscript"/>
              </w:rPr>
            </w:pPr>
            <w:r w:rsidRPr="00B670B8">
              <w:t>Telerehabilitation</w:t>
            </w:r>
            <w:r>
              <w:rPr>
                <w:vertAlign w:val="superscript"/>
              </w:rPr>
              <w:t>1</w:t>
            </w:r>
          </w:p>
        </w:tc>
        <w:tc>
          <w:tcPr>
            <w:tcW w:w="2897" w:type="dxa"/>
          </w:tcPr>
          <w:p w:rsidR="00B670B8" w:rsidRPr="0034431B" w:rsidRDefault="00B670B8" w:rsidP="00221EE6">
            <w:r w:rsidRPr="00B670B8">
              <w:t>A program including adaptive equipment and environmental modifications focused on self-care and safety within the home.</w:t>
            </w:r>
          </w:p>
        </w:tc>
      </w:tr>
      <w:tr w:rsidR="002C081D" w:rsidTr="00124614">
        <w:tc>
          <w:tcPr>
            <w:tcW w:w="9242" w:type="dxa"/>
            <w:gridSpan w:val="4"/>
          </w:tcPr>
          <w:p w:rsidR="002C081D" w:rsidRPr="0034431B" w:rsidRDefault="002C081D" w:rsidP="001B1B9A">
            <w:pPr>
              <w:jc w:val="center"/>
            </w:pPr>
            <w:r>
              <w:rPr>
                <w:vertAlign w:val="superscript"/>
              </w:rPr>
              <w:t>1</w:t>
            </w:r>
            <w:r w:rsidRPr="002C081D">
              <w:rPr>
                <w:sz w:val="20"/>
                <w:szCs w:val="20"/>
              </w:rPr>
              <w:t>This intervention called ‘</w:t>
            </w:r>
            <w:proofErr w:type="spellStart"/>
            <w:r w:rsidRPr="002C081D">
              <w:rPr>
                <w:sz w:val="20"/>
                <w:szCs w:val="20"/>
              </w:rPr>
              <w:t>Telerahabilitation</w:t>
            </w:r>
            <w:proofErr w:type="spellEnd"/>
            <w:r w:rsidRPr="002C081D">
              <w:rPr>
                <w:sz w:val="20"/>
                <w:szCs w:val="20"/>
              </w:rPr>
              <w:t xml:space="preserve">’ used a two phase approach including both a </w:t>
            </w:r>
            <w:r w:rsidRPr="002C081D">
              <w:rPr>
                <w:i/>
                <w:sz w:val="20"/>
                <w:szCs w:val="20"/>
              </w:rPr>
              <w:t>home modification</w:t>
            </w:r>
            <w:r w:rsidR="001B1B9A">
              <w:rPr>
                <w:sz w:val="20"/>
                <w:szCs w:val="20"/>
              </w:rPr>
              <w:t xml:space="preserve"> phase listed in Table 2a</w:t>
            </w:r>
            <w:r w:rsidRPr="002C081D">
              <w:rPr>
                <w:sz w:val="20"/>
                <w:szCs w:val="20"/>
              </w:rPr>
              <w:t xml:space="preserve"> and a </w:t>
            </w:r>
            <w:r w:rsidRPr="002C081D">
              <w:rPr>
                <w:i/>
                <w:sz w:val="20"/>
                <w:szCs w:val="20"/>
              </w:rPr>
              <w:t>Remote patient-health professional communication</w:t>
            </w:r>
            <w:r w:rsidR="001B1B9A">
              <w:rPr>
                <w:sz w:val="20"/>
                <w:szCs w:val="20"/>
              </w:rPr>
              <w:t xml:space="preserve"> phase </w:t>
            </w:r>
            <w:r w:rsidRPr="002C081D">
              <w:rPr>
                <w:sz w:val="20"/>
                <w:szCs w:val="20"/>
              </w:rPr>
              <w:t>listed in Table</w:t>
            </w:r>
            <w:r w:rsidR="001B1B9A">
              <w:rPr>
                <w:sz w:val="20"/>
                <w:szCs w:val="20"/>
              </w:rPr>
              <w:t xml:space="preserve"> 2b.</w:t>
            </w:r>
          </w:p>
        </w:tc>
      </w:tr>
    </w:tbl>
    <w:p w:rsidR="00221EE6" w:rsidRDefault="00221EE6" w:rsidP="00221EE6"/>
    <w:p w:rsidR="00D87A9E" w:rsidRPr="000C1A59" w:rsidRDefault="00D87A9E" w:rsidP="00221EE6">
      <w:pPr>
        <w:rPr>
          <w:b/>
        </w:rPr>
      </w:pPr>
      <w:r w:rsidRPr="000C1A59">
        <w:rPr>
          <w:b/>
        </w:rPr>
        <w:t xml:space="preserve">Table </w:t>
      </w:r>
      <w:r w:rsidR="00CD66B6">
        <w:rPr>
          <w:b/>
        </w:rPr>
        <w:t>B)</w:t>
      </w:r>
      <w:r w:rsidRPr="000C1A59">
        <w:rPr>
          <w:b/>
        </w:rPr>
        <w:t xml:space="preserve"> </w:t>
      </w:r>
      <w:r w:rsidR="004873BC" w:rsidRPr="000C1A59">
        <w:rPr>
          <w:b/>
        </w:rPr>
        <w:t>Remote Patient-Health Professional C</w:t>
      </w:r>
      <w:r w:rsidRPr="000C1A59">
        <w:rPr>
          <w:b/>
        </w:rPr>
        <w:t>ommunication</w:t>
      </w:r>
      <w:bookmarkStart w:id="0" w:name="_GoBack"/>
      <w:bookmarkEnd w:id="0"/>
    </w:p>
    <w:tbl>
      <w:tblPr>
        <w:tblStyle w:val="TableGrid"/>
        <w:tblW w:w="0" w:type="auto"/>
        <w:tblLook w:val="04A0" w:firstRow="1" w:lastRow="0" w:firstColumn="1" w:lastColumn="0" w:noHBand="0" w:noVBand="1"/>
      </w:tblPr>
      <w:tblGrid>
        <w:gridCol w:w="2093"/>
        <w:gridCol w:w="992"/>
        <w:gridCol w:w="3260"/>
        <w:gridCol w:w="2897"/>
      </w:tblGrid>
      <w:tr w:rsidR="00D87A9E" w:rsidTr="00CC1860">
        <w:tc>
          <w:tcPr>
            <w:tcW w:w="2093" w:type="dxa"/>
          </w:tcPr>
          <w:p w:rsidR="00D87A9E" w:rsidRPr="00CC1860" w:rsidRDefault="00D87A9E" w:rsidP="00275571">
            <w:pPr>
              <w:rPr>
                <w:b/>
              </w:rPr>
            </w:pPr>
            <w:r w:rsidRPr="00CC1860">
              <w:rPr>
                <w:b/>
              </w:rPr>
              <w:t>Year, Authors</w:t>
            </w:r>
          </w:p>
        </w:tc>
        <w:tc>
          <w:tcPr>
            <w:tcW w:w="992" w:type="dxa"/>
          </w:tcPr>
          <w:p w:rsidR="00D87A9E" w:rsidRPr="00CC1860" w:rsidRDefault="00D87A9E" w:rsidP="00F77948">
            <w:pPr>
              <w:jc w:val="center"/>
              <w:rPr>
                <w:b/>
              </w:rPr>
            </w:pPr>
            <w:r w:rsidRPr="00CC1860">
              <w:rPr>
                <w:b/>
              </w:rPr>
              <w:t>Country</w:t>
            </w:r>
          </w:p>
        </w:tc>
        <w:tc>
          <w:tcPr>
            <w:tcW w:w="3260" w:type="dxa"/>
          </w:tcPr>
          <w:p w:rsidR="00D87A9E" w:rsidRPr="00CC1860" w:rsidRDefault="00D87A9E" w:rsidP="00275571">
            <w:pPr>
              <w:rPr>
                <w:b/>
              </w:rPr>
            </w:pPr>
            <w:r w:rsidRPr="00CC1860">
              <w:rPr>
                <w:b/>
              </w:rPr>
              <w:t>Name(s) of ALT in study</w:t>
            </w:r>
          </w:p>
        </w:tc>
        <w:tc>
          <w:tcPr>
            <w:tcW w:w="2897" w:type="dxa"/>
          </w:tcPr>
          <w:p w:rsidR="00D87A9E" w:rsidRPr="00CC1860" w:rsidRDefault="00D87A9E" w:rsidP="00275571">
            <w:pPr>
              <w:rPr>
                <w:b/>
              </w:rPr>
            </w:pPr>
            <w:r w:rsidRPr="00CC1860">
              <w:rPr>
                <w:b/>
              </w:rPr>
              <w:t>Details of ALT</w:t>
            </w:r>
          </w:p>
        </w:tc>
      </w:tr>
      <w:tr w:rsidR="00D87A9E" w:rsidTr="00CC1860">
        <w:tc>
          <w:tcPr>
            <w:tcW w:w="2093" w:type="dxa"/>
          </w:tcPr>
          <w:p w:rsidR="00D87A9E" w:rsidRDefault="00D87A9E" w:rsidP="00221EE6">
            <w:r w:rsidRPr="00D87A9E">
              <w:t>2000</w:t>
            </w:r>
            <w:r w:rsidR="00505FFC">
              <w:t>,</w:t>
            </w:r>
            <w:r w:rsidRPr="00D87A9E">
              <w:t xml:space="preserve"> Johnston B, Wheeler L, </w:t>
            </w:r>
            <w:proofErr w:type="spellStart"/>
            <w:r w:rsidRPr="00D87A9E">
              <w:t>Deuser</w:t>
            </w:r>
            <w:proofErr w:type="spellEnd"/>
            <w:r w:rsidRPr="00D87A9E">
              <w:t xml:space="preserve"> J, Sousa K H</w:t>
            </w:r>
          </w:p>
        </w:tc>
        <w:tc>
          <w:tcPr>
            <w:tcW w:w="992" w:type="dxa"/>
          </w:tcPr>
          <w:p w:rsidR="00D87A9E" w:rsidRDefault="00D87A9E" w:rsidP="00F77948">
            <w:pPr>
              <w:jc w:val="center"/>
            </w:pPr>
            <w:r>
              <w:t>USA</w:t>
            </w:r>
          </w:p>
        </w:tc>
        <w:tc>
          <w:tcPr>
            <w:tcW w:w="3260" w:type="dxa"/>
          </w:tcPr>
          <w:p w:rsidR="00D87A9E" w:rsidRDefault="00D87A9E" w:rsidP="00221EE6">
            <w:r w:rsidRPr="00D87A9E">
              <w:t>Tele-Home Health</w:t>
            </w:r>
          </w:p>
        </w:tc>
        <w:tc>
          <w:tcPr>
            <w:tcW w:w="2897" w:type="dxa"/>
          </w:tcPr>
          <w:p w:rsidR="00DD4D16" w:rsidRDefault="00DD4D16" w:rsidP="00221EE6">
            <w:r>
              <w:t>Video equipment installed in the homes of older people which allowed for:</w:t>
            </w:r>
          </w:p>
          <w:p w:rsidR="00DD4D16" w:rsidRDefault="00DD4D16" w:rsidP="00221EE6"/>
          <w:p w:rsidR="00D43F0F" w:rsidRDefault="00DD4D16" w:rsidP="00221EE6">
            <w:r>
              <w:t>24 hour access to Home Health Nurses</w:t>
            </w:r>
            <w:r w:rsidR="00D43F0F">
              <w:t xml:space="preserve"> through the Home Health Department</w:t>
            </w:r>
            <w:r>
              <w:t xml:space="preserve"> </w:t>
            </w:r>
            <w:r w:rsidR="00D43F0F">
              <w:t xml:space="preserve">by using remote video visit technology during normal working hours and on-call hours. </w:t>
            </w:r>
          </w:p>
          <w:p w:rsidR="00D43F0F" w:rsidRDefault="00D43F0F" w:rsidP="00221EE6"/>
          <w:p w:rsidR="00D87A9E" w:rsidRDefault="00D43F0F" w:rsidP="00D43F0F">
            <w:r w:rsidRPr="00D43F0F">
              <w:t>The video system included peripheral equipment for assessing cardiopulmonary</w:t>
            </w:r>
            <w:r>
              <w:t xml:space="preserve"> status. In depth triage could be provided without older people having to leave the home.</w:t>
            </w:r>
          </w:p>
        </w:tc>
      </w:tr>
      <w:tr w:rsidR="00783079" w:rsidTr="00CC1860">
        <w:tc>
          <w:tcPr>
            <w:tcW w:w="2093" w:type="dxa"/>
          </w:tcPr>
          <w:p w:rsidR="00783079" w:rsidRPr="003D4BE9" w:rsidRDefault="00783079" w:rsidP="00E56D09">
            <w:r w:rsidRPr="003D4BE9">
              <w:t>2000</w:t>
            </w:r>
            <w:r w:rsidR="00505FFC">
              <w:t>,</w:t>
            </w:r>
            <w:r w:rsidRPr="003D4BE9">
              <w:t xml:space="preserve"> Noel H C, </w:t>
            </w:r>
            <w:r w:rsidRPr="003D4BE9">
              <w:lastRenderedPageBreak/>
              <w:t>Vogel D C</w:t>
            </w:r>
          </w:p>
        </w:tc>
        <w:tc>
          <w:tcPr>
            <w:tcW w:w="992" w:type="dxa"/>
          </w:tcPr>
          <w:p w:rsidR="00783079" w:rsidRPr="003D4BE9" w:rsidRDefault="00D142D2" w:rsidP="00F77948">
            <w:pPr>
              <w:jc w:val="center"/>
            </w:pPr>
            <w:r>
              <w:lastRenderedPageBreak/>
              <w:t>USA</w:t>
            </w:r>
          </w:p>
        </w:tc>
        <w:tc>
          <w:tcPr>
            <w:tcW w:w="3260" w:type="dxa"/>
          </w:tcPr>
          <w:p w:rsidR="00783079" w:rsidRPr="003D4BE9" w:rsidRDefault="00783079" w:rsidP="00E56D09">
            <w:r w:rsidRPr="003D4BE9">
              <w:t>Telemedicine</w:t>
            </w:r>
          </w:p>
        </w:tc>
        <w:tc>
          <w:tcPr>
            <w:tcW w:w="2897" w:type="dxa"/>
          </w:tcPr>
          <w:p w:rsidR="00505FFC" w:rsidRDefault="00505FFC" w:rsidP="00E56D09">
            <w:r>
              <w:t xml:space="preserve">Home surveillance </w:t>
            </w:r>
            <w:r>
              <w:lastRenderedPageBreak/>
              <w:t xml:space="preserve">technology to monitor the condition of the older person by transmitting routine physiological data to a nurse-staffed, central nurse station. </w:t>
            </w:r>
          </w:p>
          <w:p w:rsidR="00505FFC" w:rsidRDefault="00505FFC" w:rsidP="00E56D09"/>
          <w:p w:rsidR="00505FFC" w:rsidRDefault="00505FFC" w:rsidP="00E56D09">
            <w:r w:rsidRPr="003D4BE9">
              <w:t xml:space="preserve">The </w:t>
            </w:r>
            <w:r>
              <w:t>hospital</w:t>
            </w:r>
            <w:r w:rsidRPr="003D4BE9">
              <w:t xml:space="preserve"> unit accommodated peripherals for blood pressure, pulse rate, pulse </w:t>
            </w:r>
            <w:proofErr w:type="spellStart"/>
            <w:r w:rsidRPr="003D4BE9">
              <w:t>oxymetry</w:t>
            </w:r>
            <w:proofErr w:type="spellEnd"/>
            <w:r w:rsidRPr="003D4BE9">
              <w:t xml:space="preserve">, camera, temperature, lung sounds, and electrocardiogram. </w:t>
            </w:r>
          </w:p>
          <w:p w:rsidR="00505FFC" w:rsidRDefault="00505FFC" w:rsidP="00E56D09"/>
          <w:p w:rsidR="00783079" w:rsidRPr="003D4BE9" w:rsidRDefault="00505FFC" w:rsidP="00E56D09">
            <w:r w:rsidRPr="003D4BE9">
              <w:t>A voice system reminded the participants to take their medication and to use peripherals during specific timeframes.</w:t>
            </w:r>
          </w:p>
        </w:tc>
      </w:tr>
      <w:tr w:rsidR="00EE3F34" w:rsidTr="00CC1860">
        <w:tc>
          <w:tcPr>
            <w:tcW w:w="2093" w:type="dxa"/>
          </w:tcPr>
          <w:p w:rsidR="00EE3F34" w:rsidRPr="00F1607C" w:rsidRDefault="00EE3F34" w:rsidP="00265D9B">
            <w:r w:rsidRPr="00F1607C">
              <w:lastRenderedPageBreak/>
              <w:t xml:space="preserve">2004 Noel H C, Vogel D C, </w:t>
            </w:r>
            <w:proofErr w:type="spellStart"/>
            <w:r w:rsidRPr="00F1607C">
              <w:t>Erdos</w:t>
            </w:r>
            <w:proofErr w:type="spellEnd"/>
            <w:r w:rsidRPr="00F1607C">
              <w:t xml:space="preserve"> J </w:t>
            </w:r>
            <w:proofErr w:type="spellStart"/>
            <w:r w:rsidRPr="00F1607C">
              <w:t>J</w:t>
            </w:r>
            <w:proofErr w:type="spellEnd"/>
            <w:r w:rsidRPr="00F1607C">
              <w:t>, Cornwall D, Levin F</w:t>
            </w:r>
          </w:p>
        </w:tc>
        <w:tc>
          <w:tcPr>
            <w:tcW w:w="992" w:type="dxa"/>
          </w:tcPr>
          <w:p w:rsidR="00EE3F34" w:rsidRPr="00F1607C" w:rsidRDefault="00EE3F34" w:rsidP="00F77948">
            <w:pPr>
              <w:jc w:val="center"/>
            </w:pPr>
            <w:r w:rsidRPr="00F1607C">
              <w:t>USA</w:t>
            </w:r>
          </w:p>
        </w:tc>
        <w:tc>
          <w:tcPr>
            <w:tcW w:w="3260" w:type="dxa"/>
          </w:tcPr>
          <w:p w:rsidR="00EE3F34" w:rsidRDefault="00665FBE" w:rsidP="00265D9B">
            <w:r>
              <w:t xml:space="preserve">1. </w:t>
            </w:r>
            <w:r w:rsidR="00EE3F34" w:rsidRPr="00F1607C">
              <w:t xml:space="preserve">Home </w:t>
            </w:r>
            <w:proofErr w:type="spellStart"/>
            <w:r w:rsidR="00EE3F34" w:rsidRPr="00F1607C">
              <w:t>telehealth</w:t>
            </w:r>
            <w:proofErr w:type="spellEnd"/>
            <w:r w:rsidR="00EE3F34" w:rsidRPr="00F1607C">
              <w:t xml:space="preserve"> </w:t>
            </w:r>
          </w:p>
          <w:p w:rsidR="006F7022" w:rsidRPr="00F1607C" w:rsidRDefault="00665FBE" w:rsidP="006F7022">
            <w:r>
              <w:t xml:space="preserve">2. </w:t>
            </w:r>
            <w:r w:rsidR="006F7022">
              <w:t>Home telemedicine</w:t>
            </w:r>
          </w:p>
        </w:tc>
        <w:tc>
          <w:tcPr>
            <w:tcW w:w="2897" w:type="dxa"/>
          </w:tcPr>
          <w:p w:rsidR="00F46F34" w:rsidRDefault="00F46F34" w:rsidP="00265D9B">
            <w:r>
              <w:t>Older people</w:t>
            </w:r>
            <w:r w:rsidRPr="00F46F34">
              <w:t xml:space="preserve"> received units that used standard phone lines to communicate with the hospital. FDA-approved peripheral devices monitored vital signs. Out of range data triggered electronic alerts to nurse case managers. </w:t>
            </w:r>
          </w:p>
          <w:p w:rsidR="00F46F34" w:rsidRDefault="00F46F34" w:rsidP="00265D9B"/>
          <w:p w:rsidR="00EE3F34" w:rsidRPr="00F1607C" w:rsidRDefault="00F46F34" w:rsidP="00265D9B">
            <w:r w:rsidRPr="00F46F34">
              <w:t xml:space="preserve">No live video or audio </w:t>
            </w:r>
            <w:r>
              <w:t xml:space="preserve">was </w:t>
            </w:r>
            <w:r w:rsidRPr="00F46F34">
              <w:t>incorporated in either direction.</w:t>
            </w:r>
          </w:p>
        </w:tc>
      </w:tr>
      <w:tr w:rsidR="00445903" w:rsidTr="00CC1860">
        <w:tc>
          <w:tcPr>
            <w:tcW w:w="2093" w:type="dxa"/>
          </w:tcPr>
          <w:p w:rsidR="00445903" w:rsidRPr="003F1571" w:rsidRDefault="00445903" w:rsidP="00B4726F">
            <w:r w:rsidRPr="003F1571">
              <w:t xml:space="preserve">2006 Vincent C, </w:t>
            </w:r>
            <w:proofErr w:type="spellStart"/>
            <w:r w:rsidRPr="003F1571">
              <w:t>Reinharz</w:t>
            </w:r>
            <w:proofErr w:type="spellEnd"/>
            <w:r w:rsidRPr="003F1571">
              <w:t xml:space="preserve"> D, </w:t>
            </w:r>
            <w:proofErr w:type="spellStart"/>
            <w:r w:rsidRPr="003F1571">
              <w:t>Deaudelin</w:t>
            </w:r>
            <w:proofErr w:type="spellEnd"/>
            <w:r w:rsidRPr="003F1571">
              <w:t xml:space="preserve"> I, </w:t>
            </w:r>
            <w:proofErr w:type="spellStart"/>
            <w:r w:rsidRPr="003F1571">
              <w:t>Garceau</w:t>
            </w:r>
            <w:proofErr w:type="spellEnd"/>
            <w:r w:rsidRPr="003F1571">
              <w:t xml:space="preserve"> M, Talbot L R</w:t>
            </w:r>
          </w:p>
        </w:tc>
        <w:tc>
          <w:tcPr>
            <w:tcW w:w="992" w:type="dxa"/>
          </w:tcPr>
          <w:p w:rsidR="00445903" w:rsidRPr="003F1571" w:rsidRDefault="00445903" w:rsidP="00F77948">
            <w:pPr>
              <w:jc w:val="center"/>
            </w:pPr>
            <w:r w:rsidRPr="003F1571">
              <w:t>Canada</w:t>
            </w:r>
          </w:p>
        </w:tc>
        <w:tc>
          <w:tcPr>
            <w:tcW w:w="3260" w:type="dxa"/>
          </w:tcPr>
          <w:p w:rsidR="00445903" w:rsidRPr="003F1571" w:rsidRDefault="00445903" w:rsidP="00B4726F">
            <w:r w:rsidRPr="003F1571">
              <w:t>Telesurveillance Service</w:t>
            </w:r>
          </w:p>
        </w:tc>
        <w:tc>
          <w:tcPr>
            <w:tcW w:w="2897" w:type="dxa"/>
          </w:tcPr>
          <w:p w:rsidR="004F464F" w:rsidRDefault="004A24BA" w:rsidP="004F464F">
            <w:r>
              <w:t xml:space="preserve">Technology </w:t>
            </w:r>
            <w:r w:rsidR="004F464F" w:rsidRPr="004F464F">
              <w:t>consists of a telephone and a small battery-powered wireless emergency call transmitter</w:t>
            </w:r>
            <w:r w:rsidR="005F791E">
              <w:t xml:space="preserve"> with b</w:t>
            </w:r>
            <w:r w:rsidR="005F791E" w:rsidRPr="005F791E">
              <w:t xml:space="preserve">i-directional communication capabilities (speaker-receiver) between the older person and the (nurse staffed) calling </w:t>
            </w:r>
            <w:proofErr w:type="spellStart"/>
            <w:r w:rsidR="005F791E" w:rsidRPr="005F791E">
              <w:t>center</w:t>
            </w:r>
            <w:proofErr w:type="spellEnd"/>
            <w:r w:rsidR="005F791E" w:rsidRPr="005F791E">
              <w:t xml:space="preserve">. </w:t>
            </w:r>
            <w:r w:rsidR="005F791E">
              <w:t xml:space="preserve"> </w:t>
            </w:r>
          </w:p>
          <w:p w:rsidR="005F791E" w:rsidRDefault="005F791E" w:rsidP="004F464F"/>
          <w:p w:rsidR="005F791E" w:rsidRDefault="005F791E" w:rsidP="004F464F">
            <w:r>
              <w:t xml:space="preserve">The wireless unit </w:t>
            </w:r>
            <w:r w:rsidR="004A24BA" w:rsidRPr="004A24BA">
              <w:t xml:space="preserve">can be worn as a medallion or bracelet, is impact and water-resistant, and can be used to place emergency calls, or to answer the phone when the user is not near the base set. </w:t>
            </w:r>
          </w:p>
          <w:p w:rsidR="005F791E" w:rsidRDefault="005F791E" w:rsidP="004F464F"/>
          <w:p w:rsidR="004F464F" w:rsidRDefault="004A24BA" w:rsidP="004F464F">
            <w:r w:rsidRPr="004A24BA">
              <w:t xml:space="preserve">The telephone is equipped with oversized, illuminated buttons and a light </w:t>
            </w:r>
            <w:r w:rsidRPr="004A24BA">
              <w:lastRenderedPageBreak/>
              <w:t>ergonomic handset, which is compatible with hearing aids.</w:t>
            </w:r>
          </w:p>
          <w:p w:rsidR="004A24BA" w:rsidRDefault="004A24BA" w:rsidP="004F464F"/>
          <w:p w:rsidR="005F791E" w:rsidRDefault="004A24BA" w:rsidP="004F464F">
            <w:r w:rsidRPr="004A24BA">
              <w:t xml:space="preserve">This model possesses many other special features including bi-directional communication up to 30 meters from the phone, and voice reminders (e.g., for medication, catheters, glycaemia, special diet, prescribed exercises, medical appointments, important social functions, daily activity tasks) that can be set for specific times (daily, weekly or only once). Six reminders can be stored simultaneously and programmed remotely. </w:t>
            </w:r>
          </w:p>
          <w:p w:rsidR="005F791E" w:rsidRDefault="005F791E" w:rsidP="004F464F"/>
          <w:p w:rsidR="00A4446E" w:rsidRDefault="004A24BA" w:rsidP="004F464F">
            <w:r w:rsidRPr="004A24BA">
              <w:t xml:space="preserve">The </w:t>
            </w:r>
            <w:r w:rsidR="005F791E">
              <w:t>older person</w:t>
            </w:r>
            <w:r w:rsidRPr="004A24BA">
              <w:t xml:space="preserve"> can also answer and speak on the telephone remotely simply by pressing the emergency button, without picking up the phone. </w:t>
            </w:r>
          </w:p>
          <w:p w:rsidR="00A4446E" w:rsidRDefault="00A4446E" w:rsidP="004F464F"/>
          <w:p w:rsidR="00445903" w:rsidRDefault="004A24BA" w:rsidP="00B4726F">
            <w:r w:rsidRPr="004A24BA">
              <w:t>Another available function is the ability to get the time, day and date by pressing a button.</w:t>
            </w:r>
          </w:p>
        </w:tc>
      </w:tr>
      <w:tr w:rsidR="00D51CF0" w:rsidTr="00CC1860">
        <w:tc>
          <w:tcPr>
            <w:tcW w:w="2093" w:type="dxa"/>
          </w:tcPr>
          <w:p w:rsidR="00D51CF0" w:rsidRPr="00584CAB" w:rsidRDefault="00D51CF0" w:rsidP="00D94D76">
            <w:r w:rsidRPr="00584CAB">
              <w:lastRenderedPageBreak/>
              <w:t xml:space="preserve">2006 Finkelstein S M, </w:t>
            </w:r>
            <w:proofErr w:type="spellStart"/>
            <w:r w:rsidRPr="00584CAB">
              <w:t>Speedie</w:t>
            </w:r>
            <w:proofErr w:type="spellEnd"/>
            <w:r w:rsidRPr="00584CAB">
              <w:t xml:space="preserve"> S M, </w:t>
            </w:r>
            <w:proofErr w:type="spellStart"/>
            <w:r w:rsidRPr="00584CAB">
              <w:t>Potthoff</w:t>
            </w:r>
            <w:proofErr w:type="spellEnd"/>
            <w:r w:rsidRPr="00584CAB">
              <w:t xml:space="preserve"> S</w:t>
            </w:r>
          </w:p>
        </w:tc>
        <w:tc>
          <w:tcPr>
            <w:tcW w:w="992" w:type="dxa"/>
          </w:tcPr>
          <w:p w:rsidR="00D51CF0" w:rsidRPr="00584CAB" w:rsidRDefault="00D51CF0" w:rsidP="00F77948">
            <w:pPr>
              <w:jc w:val="center"/>
            </w:pPr>
            <w:r w:rsidRPr="00584CAB">
              <w:t>USA</w:t>
            </w:r>
          </w:p>
        </w:tc>
        <w:tc>
          <w:tcPr>
            <w:tcW w:w="3260" w:type="dxa"/>
          </w:tcPr>
          <w:p w:rsidR="00D51CF0" w:rsidRPr="00584CAB" w:rsidRDefault="00EE72E1" w:rsidP="00D94D76">
            <w:r>
              <w:t xml:space="preserve">1. </w:t>
            </w:r>
            <w:proofErr w:type="spellStart"/>
            <w:r w:rsidR="00D51CF0" w:rsidRPr="00584CAB">
              <w:t>TeleHomeCare</w:t>
            </w:r>
            <w:proofErr w:type="spellEnd"/>
          </w:p>
        </w:tc>
        <w:tc>
          <w:tcPr>
            <w:tcW w:w="2897" w:type="dxa"/>
          </w:tcPr>
          <w:p w:rsidR="00D51CF0" w:rsidRDefault="00FA15F4" w:rsidP="00FA15F4">
            <w:r>
              <w:t>A program integrating information, telecommunications, and physiological monitoring technology for patients at home in lieu of visits to the home by healthcare workers.</w:t>
            </w:r>
          </w:p>
          <w:p w:rsidR="00FA15F4" w:rsidRDefault="00FA15F4" w:rsidP="00FA15F4"/>
          <w:p w:rsidR="00FA15F4" w:rsidRPr="00584CAB" w:rsidRDefault="00FA15F4" w:rsidP="00FA15F4"/>
        </w:tc>
      </w:tr>
      <w:tr w:rsidR="0097670C" w:rsidTr="00CC1860">
        <w:tc>
          <w:tcPr>
            <w:tcW w:w="2093" w:type="dxa"/>
          </w:tcPr>
          <w:p w:rsidR="0097670C" w:rsidRDefault="0097670C" w:rsidP="00221EE6"/>
        </w:tc>
        <w:tc>
          <w:tcPr>
            <w:tcW w:w="992" w:type="dxa"/>
          </w:tcPr>
          <w:p w:rsidR="0097670C" w:rsidRDefault="0097670C" w:rsidP="00F77948">
            <w:pPr>
              <w:jc w:val="center"/>
            </w:pPr>
          </w:p>
        </w:tc>
        <w:tc>
          <w:tcPr>
            <w:tcW w:w="3260" w:type="dxa"/>
          </w:tcPr>
          <w:p w:rsidR="0097670C" w:rsidRPr="00BB7839" w:rsidRDefault="00EE72E1" w:rsidP="007C1361">
            <w:r>
              <w:t xml:space="preserve">2. </w:t>
            </w:r>
            <w:r w:rsidR="0097670C" w:rsidRPr="00BB7839">
              <w:t xml:space="preserve">Home </w:t>
            </w:r>
            <w:proofErr w:type="spellStart"/>
            <w:r w:rsidR="0097670C" w:rsidRPr="00BB7839">
              <w:t>telehealth</w:t>
            </w:r>
            <w:proofErr w:type="spellEnd"/>
          </w:p>
        </w:tc>
        <w:tc>
          <w:tcPr>
            <w:tcW w:w="2897" w:type="dxa"/>
          </w:tcPr>
          <w:p w:rsidR="0097670C" w:rsidRDefault="00FA15F4" w:rsidP="00221EE6">
            <w:r w:rsidRPr="00FA15F4">
              <w:t>Virtual video visits, and virtual video visits with physiological monitoring.</w:t>
            </w:r>
          </w:p>
          <w:p w:rsidR="00FA15F4" w:rsidRDefault="00FA15F4" w:rsidP="00221EE6"/>
          <w:p w:rsidR="00FA15F4" w:rsidRDefault="00FA15F4" w:rsidP="00221EE6">
            <w:r w:rsidRPr="00FA15F4">
              <w:t xml:space="preserve">The technology set up in the older people’s homes consisted of a set-top box connected to the subject’s television set and telephone line. A lightweight, variable focus eyeball camera was </w:t>
            </w:r>
            <w:r w:rsidRPr="00FA15F4">
              <w:lastRenderedPageBreak/>
              <w:t>placed on the box with a 6-foot tether for easy positioning so that the camera, and not the subject, could be moved to transmit real-time pictures of wounds, swollen ankles, etc. An automatic focusing adjustment and freeze-frame video mode increase chances of good quality images being transmitted for evaluation.</w:t>
            </w:r>
          </w:p>
          <w:p w:rsidR="00FA15F4" w:rsidRDefault="00FA15F4" w:rsidP="00221EE6"/>
          <w:p w:rsidR="00FA15F4" w:rsidRDefault="00FA15F4" w:rsidP="00221EE6">
            <w:r w:rsidRPr="00FA15F4">
              <w:t>Subjects in the monitoring group also received physiologic monitoring devices appropriate for their underlying health condition.</w:t>
            </w:r>
          </w:p>
        </w:tc>
      </w:tr>
      <w:tr w:rsidR="0097670C" w:rsidTr="00CC1860">
        <w:tc>
          <w:tcPr>
            <w:tcW w:w="2093" w:type="dxa"/>
          </w:tcPr>
          <w:p w:rsidR="0097670C" w:rsidRDefault="0097670C" w:rsidP="00221EE6"/>
        </w:tc>
        <w:tc>
          <w:tcPr>
            <w:tcW w:w="992" w:type="dxa"/>
          </w:tcPr>
          <w:p w:rsidR="0097670C" w:rsidRDefault="0097670C" w:rsidP="00F77948">
            <w:pPr>
              <w:jc w:val="center"/>
            </w:pPr>
          </w:p>
        </w:tc>
        <w:tc>
          <w:tcPr>
            <w:tcW w:w="3260" w:type="dxa"/>
          </w:tcPr>
          <w:p w:rsidR="0097670C" w:rsidRPr="00BB7839" w:rsidRDefault="00EE72E1" w:rsidP="007C1361">
            <w:r>
              <w:t xml:space="preserve">3. </w:t>
            </w:r>
            <w:r w:rsidR="00FA15F4" w:rsidRPr="00BB7839">
              <w:t>Virtual</w:t>
            </w:r>
            <w:r w:rsidR="0097670C" w:rsidRPr="00BB7839">
              <w:t xml:space="preserve"> Video Visits</w:t>
            </w:r>
          </w:p>
        </w:tc>
        <w:tc>
          <w:tcPr>
            <w:tcW w:w="2897" w:type="dxa"/>
          </w:tcPr>
          <w:p w:rsidR="0097670C" w:rsidRDefault="00FA15F4" w:rsidP="00221EE6">
            <w:r w:rsidRPr="00FA15F4">
              <w:t>Virtual visits between a skilled home healthcare nurse and chronically ill patients at home.</w:t>
            </w:r>
          </w:p>
          <w:p w:rsidR="00FA15F4" w:rsidRDefault="00FA15F4" w:rsidP="00221EE6"/>
          <w:p w:rsidR="00FA15F4" w:rsidRDefault="00FA15F4" w:rsidP="00221EE6">
            <w:r w:rsidRPr="00FA15F4">
              <w:t xml:space="preserve">The nurses initiated virtual visits by telephoning the subject (using a set-top box with built in camera used at each Home Health Care agency); the subject answered the call to proceed with the virtual visit. The nurse controlled audio and video adjustments at both sites. The nurse entered all standard medical charting data for </w:t>
            </w:r>
            <w:proofErr w:type="spellStart"/>
            <w:r w:rsidRPr="00FA15F4">
              <w:t>TeleHomeCare</w:t>
            </w:r>
            <w:proofErr w:type="spellEnd"/>
            <w:r w:rsidRPr="00FA15F4">
              <w:t xml:space="preserve"> into a clinical information system.</w:t>
            </w:r>
          </w:p>
        </w:tc>
      </w:tr>
      <w:tr w:rsidR="00EE72E1" w:rsidTr="00EE72E1">
        <w:trPr>
          <w:trHeight w:val="2626"/>
        </w:trPr>
        <w:tc>
          <w:tcPr>
            <w:tcW w:w="2093" w:type="dxa"/>
          </w:tcPr>
          <w:p w:rsidR="00EE72E1" w:rsidRPr="00893F16" w:rsidRDefault="00EE72E1" w:rsidP="005E2F76">
            <w:r w:rsidRPr="00893F16">
              <w:t xml:space="preserve">2009 Bendixen R M, Levy C E, Olive E S, </w:t>
            </w:r>
            <w:proofErr w:type="spellStart"/>
            <w:r w:rsidRPr="00893F16">
              <w:t>Kobb</w:t>
            </w:r>
            <w:proofErr w:type="spellEnd"/>
            <w:r w:rsidRPr="00893F16">
              <w:t xml:space="preserve"> R F, Mann W C</w:t>
            </w:r>
          </w:p>
        </w:tc>
        <w:tc>
          <w:tcPr>
            <w:tcW w:w="992" w:type="dxa"/>
          </w:tcPr>
          <w:p w:rsidR="00EE72E1" w:rsidRPr="00893F16" w:rsidRDefault="00EE72E1" w:rsidP="005E2F76">
            <w:r w:rsidRPr="00893F16">
              <w:t>USA</w:t>
            </w:r>
          </w:p>
        </w:tc>
        <w:tc>
          <w:tcPr>
            <w:tcW w:w="3260" w:type="dxa"/>
          </w:tcPr>
          <w:p w:rsidR="00EE72E1" w:rsidRPr="00893F16" w:rsidRDefault="00EE72E1" w:rsidP="005E2F76">
            <w:r w:rsidRPr="00893F16">
              <w:t>Telerahabilitation</w:t>
            </w:r>
            <w:r w:rsidR="003077B4">
              <w:rPr>
                <w:vertAlign w:val="superscript"/>
              </w:rPr>
              <w:t>1</w:t>
            </w:r>
            <w:r w:rsidRPr="00893F16">
              <w:t xml:space="preserve"> </w:t>
            </w:r>
          </w:p>
        </w:tc>
        <w:tc>
          <w:tcPr>
            <w:tcW w:w="2897" w:type="dxa"/>
          </w:tcPr>
          <w:p w:rsidR="00EE72E1" w:rsidRPr="00893F16" w:rsidRDefault="00EE72E1" w:rsidP="005E2F76">
            <w:r w:rsidRPr="00EE72E1">
              <w:t xml:space="preserve">Care coordinators remotely monitored their patient’s vital signs </w:t>
            </w:r>
            <w:r>
              <w:t>and provided education and self-</w:t>
            </w:r>
            <w:r w:rsidRPr="00EE72E1">
              <w:t>management strategies for decreasing the effects of chronic illnesses and functional decline.</w:t>
            </w:r>
            <w:r>
              <w:t xml:space="preserve"> </w:t>
            </w:r>
          </w:p>
        </w:tc>
      </w:tr>
      <w:tr w:rsidR="003077B4" w:rsidTr="00706839">
        <w:tc>
          <w:tcPr>
            <w:tcW w:w="9242" w:type="dxa"/>
            <w:gridSpan w:val="4"/>
          </w:tcPr>
          <w:p w:rsidR="003077B4" w:rsidRDefault="00807AAF" w:rsidP="00221EE6">
            <w:r>
              <w:rPr>
                <w:vertAlign w:val="superscript"/>
              </w:rPr>
              <w:t>1</w:t>
            </w:r>
            <w:r w:rsidRPr="002C081D">
              <w:rPr>
                <w:sz w:val="20"/>
                <w:szCs w:val="20"/>
              </w:rPr>
              <w:t>This intervention called ‘</w:t>
            </w:r>
            <w:proofErr w:type="spellStart"/>
            <w:r w:rsidRPr="002C081D">
              <w:rPr>
                <w:sz w:val="20"/>
                <w:szCs w:val="20"/>
              </w:rPr>
              <w:t>Telerahabilitation</w:t>
            </w:r>
            <w:proofErr w:type="spellEnd"/>
            <w:r w:rsidRPr="002C081D">
              <w:rPr>
                <w:sz w:val="20"/>
                <w:szCs w:val="20"/>
              </w:rPr>
              <w:t xml:space="preserve">’ used a two phase approach including both a </w:t>
            </w:r>
            <w:r w:rsidRPr="002C081D">
              <w:rPr>
                <w:i/>
                <w:sz w:val="20"/>
                <w:szCs w:val="20"/>
              </w:rPr>
              <w:t>home modification</w:t>
            </w:r>
            <w:r>
              <w:rPr>
                <w:sz w:val="20"/>
                <w:szCs w:val="20"/>
              </w:rPr>
              <w:t xml:space="preserve"> phase listed in Table 2a</w:t>
            </w:r>
            <w:r w:rsidRPr="002C081D">
              <w:rPr>
                <w:sz w:val="20"/>
                <w:szCs w:val="20"/>
              </w:rPr>
              <w:t xml:space="preserve"> and a </w:t>
            </w:r>
            <w:r w:rsidRPr="002C081D">
              <w:rPr>
                <w:i/>
                <w:sz w:val="20"/>
                <w:szCs w:val="20"/>
              </w:rPr>
              <w:t>Remote patient-health professional communication</w:t>
            </w:r>
            <w:r>
              <w:rPr>
                <w:sz w:val="20"/>
                <w:szCs w:val="20"/>
              </w:rPr>
              <w:t xml:space="preserve"> phase </w:t>
            </w:r>
            <w:r w:rsidRPr="002C081D">
              <w:rPr>
                <w:sz w:val="20"/>
                <w:szCs w:val="20"/>
              </w:rPr>
              <w:t>listed in Table</w:t>
            </w:r>
            <w:r>
              <w:rPr>
                <w:sz w:val="20"/>
                <w:szCs w:val="20"/>
              </w:rPr>
              <w:t xml:space="preserve"> 2b.</w:t>
            </w:r>
          </w:p>
        </w:tc>
      </w:tr>
    </w:tbl>
    <w:p w:rsidR="00221EE6" w:rsidRDefault="00221EE6" w:rsidP="00221EE6"/>
    <w:sectPr w:rsidR="00221EE6" w:rsidSect="00DC7A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DD" w:rsidRDefault="005B64DD" w:rsidP="00B670B8">
      <w:pPr>
        <w:spacing w:after="0" w:line="240" w:lineRule="auto"/>
      </w:pPr>
      <w:r>
        <w:separator/>
      </w:r>
    </w:p>
  </w:endnote>
  <w:endnote w:type="continuationSeparator" w:id="0">
    <w:p w:rsidR="005B64DD" w:rsidRDefault="005B64DD" w:rsidP="00B6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65511"/>
      <w:docPartObj>
        <w:docPartGallery w:val="Page Numbers (Bottom of Page)"/>
        <w:docPartUnique/>
      </w:docPartObj>
    </w:sdtPr>
    <w:sdtEndPr>
      <w:rPr>
        <w:noProof/>
      </w:rPr>
    </w:sdtEndPr>
    <w:sdtContent>
      <w:p w:rsidR="00EA00E4" w:rsidRDefault="00EA00E4">
        <w:pPr>
          <w:pStyle w:val="Footer"/>
          <w:jc w:val="center"/>
        </w:pPr>
        <w:r>
          <w:fldChar w:fldCharType="begin"/>
        </w:r>
        <w:r>
          <w:instrText xml:space="preserve"> PAGE   \* MERGEFORMAT </w:instrText>
        </w:r>
        <w:r>
          <w:fldChar w:fldCharType="separate"/>
        </w:r>
        <w:r w:rsidR="00CD66B6">
          <w:rPr>
            <w:noProof/>
          </w:rPr>
          <w:t>1</w:t>
        </w:r>
        <w:r>
          <w:rPr>
            <w:noProof/>
          </w:rPr>
          <w:fldChar w:fldCharType="end"/>
        </w:r>
      </w:p>
    </w:sdtContent>
  </w:sdt>
  <w:p w:rsidR="00EA00E4" w:rsidRDefault="00EA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DD" w:rsidRDefault="005B64DD" w:rsidP="00B670B8">
      <w:pPr>
        <w:spacing w:after="0" w:line="240" w:lineRule="auto"/>
      </w:pPr>
      <w:r>
        <w:separator/>
      </w:r>
    </w:p>
  </w:footnote>
  <w:footnote w:type="continuationSeparator" w:id="0">
    <w:p w:rsidR="005B64DD" w:rsidRDefault="005B64DD" w:rsidP="00B67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E6"/>
    <w:rsid w:val="00023C0E"/>
    <w:rsid w:val="000C1A59"/>
    <w:rsid w:val="001234A9"/>
    <w:rsid w:val="001B1B9A"/>
    <w:rsid w:val="001B2B16"/>
    <w:rsid w:val="00216626"/>
    <w:rsid w:val="00221EE6"/>
    <w:rsid w:val="002C081D"/>
    <w:rsid w:val="002C5815"/>
    <w:rsid w:val="002D2AC5"/>
    <w:rsid w:val="00304CC5"/>
    <w:rsid w:val="003077B4"/>
    <w:rsid w:val="0034431B"/>
    <w:rsid w:val="00404BEA"/>
    <w:rsid w:val="00445903"/>
    <w:rsid w:val="004873BC"/>
    <w:rsid w:val="004A24BA"/>
    <w:rsid w:val="004D45B5"/>
    <w:rsid w:val="004F464F"/>
    <w:rsid w:val="00505FFC"/>
    <w:rsid w:val="005B64DD"/>
    <w:rsid w:val="005F5A04"/>
    <w:rsid w:val="005F791E"/>
    <w:rsid w:val="00665FBE"/>
    <w:rsid w:val="006A0B7E"/>
    <w:rsid w:val="006A7A79"/>
    <w:rsid w:val="006F7022"/>
    <w:rsid w:val="00723DCF"/>
    <w:rsid w:val="00783079"/>
    <w:rsid w:val="007D3CA5"/>
    <w:rsid w:val="007F1903"/>
    <w:rsid w:val="00807AAF"/>
    <w:rsid w:val="00864898"/>
    <w:rsid w:val="008674D9"/>
    <w:rsid w:val="00867F28"/>
    <w:rsid w:val="008A22B9"/>
    <w:rsid w:val="008A55E0"/>
    <w:rsid w:val="008B2697"/>
    <w:rsid w:val="00971F4B"/>
    <w:rsid w:val="0097670C"/>
    <w:rsid w:val="00A26032"/>
    <w:rsid w:val="00A4446E"/>
    <w:rsid w:val="00B5203B"/>
    <w:rsid w:val="00B670B8"/>
    <w:rsid w:val="00B90CC7"/>
    <w:rsid w:val="00BE333C"/>
    <w:rsid w:val="00C9312E"/>
    <w:rsid w:val="00CC1860"/>
    <w:rsid w:val="00CD4AD7"/>
    <w:rsid w:val="00CD66B6"/>
    <w:rsid w:val="00CF6BA2"/>
    <w:rsid w:val="00D0100A"/>
    <w:rsid w:val="00D02DF0"/>
    <w:rsid w:val="00D13EBD"/>
    <w:rsid w:val="00D142D2"/>
    <w:rsid w:val="00D43F0F"/>
    <w:rsid w:val="00D51CF0"/>
    <w:rsid w:val="00D54A17"/>
    <w:rsid w:val="00D87A9E"/>
    <w:rsid w:val="00DC7A59"/>
    <w:rsid w:val="00DD4D16"/>
    <w:rsid w:val="00DE4E99"/>
    <w:rsid w:val="00EA00E4"/>
    <w:rsid w:val="00EB6B2E"/>
    <w:rsid w:val="00EE3F34"/>
    <w:rsid w:val="00EE72E1"/>
    <w:rsid w:val="00F46F34"/>
    <w:rsid w:val="00F77948"/>
    <w:rsid w:val="00FA15F4"/>
    <w:rsid w:val="00FA35B5"/>
    <w:rsid w:val="00FC2D43"/>
    <w:rsid w:val="00FC44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E6"/>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EE6"/>
    <w:rPr>
      <w:color w:val="0000FF" w:themeColor="hyperlink"/>
      <w:u w:val="single"/>
    </w:rPr>
  </w:style>
  <w:style w:type="paragraph" w:styleId="FootnoteText">
    <w:name w:val="footnote text"/>
    <w:basedOn w:val="Normal"/>
    <w:link w:val="FootnoteTextChar"/>
    <w:uiPriority w:val="99"/>
    <w:semiHidden/>
    <w:unhideWhenUsed/>
    <w:rsid w:val="00B67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0B8"/>
    <w:rPr>
      <w:sz w:val="20"/>
      <w:szCs w:val="20"/>
    </w:rPr>
  </w:style>
  <w:style w:type="character" w:styleId="FootnoteReference">
    <w:name w:val="footnote reference"/>
    <w:basedOn w:val="DefaultParagraphFont"/>
    <w:uiPriority w:val="99"/>
    <w:semiHidden/>
    <w:unhideWhenUsed/>
    <w:rsid w:val="00B670B8"/>
    <w:rPr>
      <w:vertAlign w:val="superscript"/>
    </w:rPr>
  </w:style>
  <w:style w:type="character" w:styleId="CommentReference">
    <w:name w:val="annotation reference"/>
    <w:basedOn w:val="DefaultParagraphFont"/>
    <w:uiPriority w:val="99"/>
    <w:semiHidden/>
    <w:unhideWhenUsed/>
    <w:rsid w:val="00F46F34"/>
    <w:rPr>
      <w:sz w:val="16"/>
      <w:szCs w:val="16"/>
    </w:rPr>
  </w:style>
  <w:style w:type="paragraph" w:styleId="CommentText">
    <w:name w:val="annotation text"/>
    <w:basedOn w:val="Normal"/>
    <w:link w:val="CommentTextChar"/>
    <w:uiPriority w:val="99"/>
    <w:semiHidden/>
    <w:unhideWhenUsed/>
    <w:rsid w:val="00F46F34"/>
    <w:pPr>
      <w:spacing w:line="240" w:lineRule="auto"/>
    </w:pPr>
    <w:rPr>
      <w:sz w:val="20"/>
      <w:szCs w:val="20"/>
    </w:rPr>
  </w:style>
  <w:style w:type="character" w:customStyle="1" w:styleId="CommentTextChar">
    <w:name w:val="Comment Text Char"/>
    <w:basedOn w:val="DefaultParagraphFont"/>
    <w:link w:val="CommentText"/>
    <w:uiPriority w:val="99"/>
    <w:semiHidden/>
    <w:rsid w:val="00F46F34"/>
    <w:rPr>
      <w:sz w:val="20"/>
      <w:szCs w:val="20"/>
    </w:rPr>
  </w:style>
  <w:style w:type="paragraph" w:styleId="CommentSubject">
    <w:name w:val="annotation subject"/>
    <w:basedOn w:val="CommentText"/>
    <w:next w:val="CommentText"/>
    <w:link w:val="CommentSubjectChar"/>
    <w:uiPriority w:val="99"/>
    <w:semiHidden/>
    <w:unhideWhenUsed/>
    <w:rsid w:val="00F46F34"/>
    <w:rPr>
      <w:b/>
      <w:bCs/>
    </w:rPr>
  </w:style>
  <w:style w:type="character" w:customStyle="1" w:styleId="CommentSubjectChar">
    <w:name w:val="Comment Subject Char"/>
    <w:basedOn w:val="CommentTextChar"/>
    <w:link w:val="CommentSubject"/>
    <w:uiPriority w:val="99"/>
    <w:semiHidden/>
    <w:rsid w:val="00F46F34"/>
    <w:rPr>
      <w:b/>
      <w:bCs/>
      <w:sz w:val="20"/>
      <w:szCs w:val="20"/>
    </w:rPr>
  </w:style>
  <w:style w:type="paragraph" w:styleId="BalloonText">
    <w:name w:val="Balloon Text"/>
    <w:basedOn w:val="Normal"/>
    <w:link w:val="BalloonTextChar"/>
    <w:uiPriority w:val="99"/>
    <w:semiHidden/>
    <w:unhideWhenUsed/>
    <w:rsid w:val="00F4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34"/>
    <w:rPr>
      <w:rFonts w:ascii="Tahoma" w:hAnsi="Tahoma" w:cs="Tahoma"/>
      <w:sz w:val="16"/>
      <w:szCs w:val="16"/>
    </w:rPr>
  </w:style>
  <w:style w:type="paragraph" w:styleId="Header">
    <w:name w:val="header"/>
    <w:basedOn w:val="Normal"/>
    <w:link w:val="HeaderChar"/>
    <w:uiPriority w:val="99"/>
    <w:unhideWhenUsed/>
    <w:rsid w:val="00EA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4"/>
  </w:style>
  <w:style w:type="paragraph" w:styleId="Footer">
    <w:name w:val="footer"/>
    <w:basedOn w:val="Normal"/>
    <w:link w:val="FooterChar"/>
    <w:uiPriority w:val="99"/>
    <w:unhideWhenUsed/>
    <w:rsid w:val="00EA0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EE6"/>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EE6"/>
    <w:rPr>
      <w:color w:val="0000FF" w:themeColor="hyperlink"/>
      <w:u w:val="single"/>
    </w:rPr>
  </w:style>
  <w:style w:type="paragraph" w:styleId="FootnoteText">
    <w:name w:val="footnote text"/>
    <w:basedOn w:val="Normal"/>
    <w:link w:val="FootnoteTextChar"/>
    <w:uiPriority w:val="99"/>
    <w:semiHidden/>
    <w:unhideWhenUsed/>
    <w:rsid w:val="00B67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0B8"/>
    <w:rPr>
      <w:sz w:val="20"/>
      <w:szCs w:val="20"/>
    </w:rPr>
  </w:style>
  <w:style w:type="character" w:styleId="FootnoteReference">
    <w:name w:val="footnote reference"/>
    <w:basedOn w:val="DefaultParagraphFont"/>
    <w:uiPriority w:val="99"/>
    <w:semiHidden/>
    <w:unhideWhenUsed/>
    <w:rsid w:val="00B670B8"/>
    <w:rPr>
      <w:vertAlign w:val="superscript"/>
    </w:rPr>
  </w:style>
  <w:style w:type="character" w:styleId="CommentReference">
    <w:name w:val="annotation reference"/>
    <w:basedOn w:val="DefaultParagraphFont"/>
    <w:uiPriority w:val="99"/>
    <w:semiHidden/>
    <w:unhideWhenUsed/>
    <w:rsid w:val="00F46F34"/>
    <w:rPr>
      <w:sz w:val="16"/>
      <w:szCs w:val="16"/>
    </w:rPr>
  </w:style>
  <w:style w:type="paragraph" w:styleId="CommentText">
    <w:name w:val="annotation text"/>
    <w:basedOn w:val="Normal"/>
    <w:link w:val="CommentTextChar"/>
    <w:uiPriority w:val="99"/>
    <w:semiHidden/>
    <w:unhideWhenUsed/>
    <w:rsid w:val="00F46F34"/>
    <w:pPr>
      <w:spacing w:line="240" w:lineRule="auto"/>
    </w:pPr>
    <w:rPr>
      <w:sz w:val="20"/>
      <w:szCs w:val="20"/>
    </w:rPr>
  </w:style>
  <w:style w:type="character" w:customStyle="1" w:styleId="CommentTextChar">
    <w:name w:val="Comment Text Char"/>
    <w:basedOn w:val="DefaultParagraphFont"/>
    <w:link w:val="CommentText"/>
    <w:uiPriority w:val="99"/>
    <w:semiHidden/>
    <w:rsid w:val="00F46F34"/>
    <w:rPr>
      <w:sz w:val="20"/>
      <w:szCs w:val="20"/>
    </w:rPr>
  </w:style>
  <w:style w:type="paragraph" w:styleId="CommentSubject">
    <w:name w:val="annotation subject"/>
    <w:basedOn w:val="CommentText"/>
    <w:next w:val="CommentText"/>
    <w:link w:val="CommentSubjectChar"/>
    <w:uiPriority w:val="99"/>
    <w:semiHidden/>
    <w:unhideWhenUsed/>
    <w:rsid w:val="00F46F34"/>
    <w:rPr>
      <w:b/>
      <w:bCs/>
    </w:rPr>
  </w:style>
  <w:style w:type="character" w:customStyle="1" w:styleId="CommentSubjectChar">
    <w:name w:val="Comment Subject Char"/>
    <w:basedOn w:val="CommentTextChar"/>
    <w:link w:val="CommentSubject"/>
    <w:uiPriority w:val="99"/>
    <w:semiHidden/>
    <w:rsid w:val="00F46F34"/>
    <w:rPr>
      <w:b/>
      <w:bCs/>
      <w:sz w:val="20"/>
      <w:szCs w:val="20"/>
    </w:rPr>
  </w:style>
  <w:style w:type="paragraph" w:styleId="BalloonText">
    <w:name w:val="Balloon Text"/>
    <w:basedOn w:val="Normal"/>
    <w:link w:val="BalloonTextChar"/>
    <w:uiPriority w:val="99"/>
    <w:semiHidden/>
    <w:unhideWhenUsed/>
    <w:rsid w:val="00F4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34"/>
    <w:rPr>
      <w:rFonts w:ascii="Tahoma" w:hAnsi="Tahoma" w:cs="Tahoma"/>
      <w:sz w:val="16"/>
      <w:szCs w:val="16"/>
    </w:rPr>
  </w:style>
  <w:style w:type="paragraph" w:styleId="Header">
    <w:name w:val="header"/>
    <w:basedOn w:val="Normal"/>
    <w:link w:val="HeaderChar"/>
    <w:uiPriority w:val="99"/>
    <w:unhideWhenUsed/>
    <w:rsid w:val="00EA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4"/>
  </w:style>
  <w:style w:type="paragraph" w:styleId="Footer">
    <w:name w:val="footer"/>
    <w:basedOn w:val="Normal"/>
    <w:link w:val="FooterChar"/>
    <w:uiPriority w:val="99"/>
    <w:unhideWhenUsed/>
    <w:rsid w:val="00EA0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97868A-887A-41B2-86BF-69E903D6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neg20</dc:creator>
  <cp:lastModifiedBy>neg20</cp:lastModifiedBy>
  <cp:revision>20</cp:revision>
  <dcterms:created xsi:type="dcterms:W3CDTF">2014-02-26T16:26:00Z</dcterms:created>
  <dcterms:modified xsi:type="dcterms:W3CDTF">2014-07-01T16:07:00Z</dcterms:modified>
</cp:coreProperties>
</file>