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D2" w:rsidRDefault="00E52BD2" w:rsidP="00E52BD2">
      <w:bookmarkStart w:id="0" w:name="_GoBack"/>
      <w:bookmarkEnd w:id="0"/>
      <w:r>
        <w:rPr>
          <w:b/>
          <w:lang w:val="pt-PT"/>
        </w:rPr>
        <w:t>Table S1.</w:t>
      </w:r>
      <w:r>
        <w:rPr>
          <w:lang w:val="pt-PT"/>
        </w:rPr>
        <w:t xml:space="preserve"> </w:t>
      </w:r>
      <w:r>
        <w:t xml:space="preserve">Amino-acid sites under positive selection in </w:t>
      </w:r>
      <w:proofErr w:type="spellStart"/>
      <w:r>
        <w:t>toxicofera</w:t>
      </w:r>
      <w:proofErr w:type="spellEnd"/>
      <w:r>
        <w:t xml:space="preserve">-reptilian </w:t>
      </w:r>
      <w:proofErr w:type="spellStart"/>
      <w:r>
        <w:t>CRiSPs</w:t>
      </w:r>
      <w:proofErr w:type="spellEnd"/>
      <w:r>
        <w:t>.</w:t>
      </w:r>
    </w:p>
    <w:tbl>
      <w:tblPr>
        <w:tblW w:w="0" w:type="auto"/>
        <w:tblInd w:w="-129" w:type="dxa"/>
        <w:tblBorders>
          <w:top w:val="dashed" w:sz="6" w:space="0" w:color="00000A"/>
          <w:right w:val="dashed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7"/>
        <w:gridCol w:w="622"/>
        <w:gridCol w:w="1489"/>
        <w:gridCol w:w="1500"/>
        <w:gridCol w:w="1266"/>
        <w:gridCol w:w="2523"/>
        <w:gridCol w:w="766"/>
        <w:gridCol w:w="966"/>
      </w:tblGrid>
      <w:tr w:rsidR="00E52BD2" w:rsidTr="00740947">
        <w:trPr>
          <w:trHeight w:val="133"/>
        </w:trPr>
        <w:tc>
          <w:tcPr>
            <w:tcW w:w="1789" w:type="dxa"/>
            <w:gridSpan w:val="2"/>
            <w:tcBorders>
              <w:top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Sites</w:t>
            </w:r>
          </w:p>
        </w:tc>
        <w:tc>
          <w:tcPr>
            <w:tcW w:w="2989" w:type="dxa"/>
            <w:gridSpan w:val="2"/>
            <w:tcBorders>
              <w:top w:val="dashed" w:sz="6" w:space="0" w:color="00000A"/>
              <w:left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PAML</w:t>
            </w:r>
          </w:p>
        </w:tc>
        <w:tc>
          <w:tcPr>
            <w:tcW w:w="5521" w:type="dxa"/>
            <w:gridSpan w:val="4"/>
            <w:tcBorders>
              <w:top w:val="dashed" w:sz="6" w:space="0" w:color="00000A"/>
              <w:left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TreeSAAP</w:t>
            </w:r>
            <w:proofErr w:type="spellEnd"/>
          </w:p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Radical changes in amino-acid properties</w:t>
            </w:r>
          </w:p>
        </w:tc>
      </w:tr>
      <w:tr w:rsidR="00E52BD2" w:rsidTr="00740947">
        <w:trPr>
          <w:trHeight w:val="463"/>
        </w:trPr>
        <w:tc>
          <w:tcPr>
            <w:tcW w:w="1167" w:type="dxa"/>
            <w:tcBorders>
              <w:top w:val="dashed" w:sz="6" w:space="0" w:color="00000A"/>
              <w:bottom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Position</w:t>
            </w:r>
          </w:p>
        </w:tc>
        <w:tc>
          <w:tcPr>
            <w:tcW w:w="622" w:type="dxa"/>
            <w:tcBorders>
              <w:top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A.A</w:t>
            </w:r>
          </w:p>
        </w:tc>
        <w:tc>
          <w:tcPr>
            <w:tcW w:w="1489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M2a</w:t>
            </w:r>
          </w:p>
        </w:tc>
        <w:tc>
          <w:tcPr>
            <w:tcW w:w="1500" w:type="dxa"/>
            <w:tcBorders>
              <w:top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M8</w:t>
            </w:r>
          </w:p>
        </w:tc>
        <w:tc>
          <w:tcPr>
            <w:tcW w:w="126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Chemical</w:t>
            </w:r>
          </w:p>
        </w:tc>
        <w:tc>
          <w:tcPr>
            <w:tcW w:w="2523" w:type="dxa"/>
            <w:tcBorders>
              <w:top w:val="dashed" w:sz="6" w:space="0" w:color="00000A"/>
              <w:bottom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Structural</w:t>
            </w:r>
          </w:p>
        </w:tc>
        <w:tc>
          <w:tcPr>
            <w:tcW w:w="766" w:type="dxa"/>
            <w:tcBorders>
              <w:top w:val="dashed" w:sz="6" w:space="0" w:color="00000A"/>
              <w:bottom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966" w:type="dxa"/>
            <w:tcBorders>
              <w:top w:val="dashed" w:sz="6" w:space="0" w:color="00000A"/>
              <w:bottom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A.S.A</w:t>
            </w:r>
          </w:p>
        </w:tc>
      </w:tr>
      <w:tr w:rsidR="00E52BD2" w:rsidTr="00740947">
        <w:trPr>
          <w:trHeight w:val="267"/>
        </w:trPr>
        <w:tc>
          <w:tcPr>
            <w:tcW w:w="1789" w:type="dxa"/>
            <w:gridSpan w:val="2"/>
            <w:tcBorders>
              <w:top w:val="dashed" w:sz="6" w:space="0" w:color="00000A"/>
              <w:left w:val="dashed" w:sz="6" w:space="0" w:color="00000A"/>
              <w:righ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Snakes</w:t>
            </w:r>
          </w:p>
        </w:tc>
        <w:tc>
          <w:tcPr>
            <w:tcW w:w="1489" w:type="dxa"/>
            <w:tcBorders>
              <w:top w:val="dashed" w:sz="6" w:space="0" w:color="00000A"/>
              <w:left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  <w:tc>
          <w:tcPr>
            <w:tcW w:w="1500" w:type="dxa"/>
            <w:tcBorders>
              <w:top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  <w:tc>
          <w:tcPr>
            <w:tcW w:w="1266" w:type="dxa"/>
            <w:tcBorders>
              <w:top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  <w:tc>
          <w:tcPr>
            <w:tcW w:w="2523" w:type="dxa"/>
            <w:tcBorders>
              <w:top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  <w:tc>
          <w:tcPr>
            <w:tcW w:w="766" w:type="dxa"/>
            <w:tcBorders>
              <w:top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  <w:tc>
          <w:tcPr>
            <w:tcW w:w="966" w:type="dxa"/>
            <w:tcBorders>
              <w:top w:val="dashed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Q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3.495 ± 0.12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3.496 ± 0.095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  V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92.9%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N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3.392 ± 0.512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3.417 ± 0.453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57.6%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N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3.31 ± 0.664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35.0%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76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L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  <w:lang w:val="pt-PT"/>
              </w:rPr>
              <w:t>3.396 ± 0.</w:t>
            </w:r>
            <w:r>
              <w:rPr>
                <w:rFonts w:eastAsia="Calibri"/>
                <w:sz w:val="20"/>
                <w:szCs w:val="20"/>
              </w:rPr>
              <w:t>444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3.421 ±0.444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7.0%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D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±0.011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±0.011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75.9%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Y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±0.016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±0.016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sz w:val="20"/>
                <w:szCs w:val="20"/>
              </w:rPr>
              <w:t>B</w:t>
            </w:r>
            <w:r>
              <w:rPr>
                <w:rFonts w:eastAsia="Calibri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78.9%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3.454 ±0.297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3.465 ±0.297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sz w:val="20"/>
                <w:szCs w:val="20"/>
              </w:rPr>
              <w:t>B</w:t>
            </w:r>
            <w:r>
              <w:rPr>
                <w:rFonts w:eastAsia="Calibri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37.5%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3.499 ±0.053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3.499 ±0.053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sz w:val="20"/>
                <w:szCs w:val="20"/>
              </w:rPr>
              <w:t>B</w:t>
            </w:r>
            <w:r>
              <w:rPr>
                <w:rFonts w:eastAsia="Calibri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57.7%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N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3.496 ±0.092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3.497 ±0.092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82.6%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 0.031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 0.031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28.2%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3.472 ±0.226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3.48 ± 0.226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64.3%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3.492 ±0.121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3.494 ±0.121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47.2%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L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±0.005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±0.005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32.9%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115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Y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3.497 ±0.081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3.497 ±0.081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47.1%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119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V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3.471 ±0.237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3.478 ±0.237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53.2%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±0.011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±0.011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N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3.492 ±0.124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3.494 ±0.124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±0.005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±0.005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sz w:val="20"/>
                <w:szCs w:val="20"/>
              </w:rPr>
              <w:t>H</w:t>
            </w:r>
            <w:r>
              <w:rPr>
                <w:rFonts w:eastAsia="Calibri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63.9%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3.282 ± 0.706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αC Ra Pβ </w:t>
            </w:r>
            <w:proofErr w:type="spellStart"/>
            <w:r>
              <w:rPr>
                <w:rFonts w:eastAsia="Calibri"/>
                <w:sz w:val="20"/>
                <w:szCs w:val="20"/>
              </w:rPr>
              <w:t>Hnc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NS HP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21.7%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171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M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 ±0.025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 ±0.025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pK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’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nc</w:t>
            </w:r>
            <w:proofErr w:type="spellEnd"/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45.9%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172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R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3.501 ±0.004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 ±0.004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nc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87.0%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174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3.499 ±0.057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3.499 ±0.057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nc</w:t>
            </w:r>
            <w:proofErr w:type="spellEnd"/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54.4%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186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G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3.386 ±0.475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3.409 ±0.475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nc</w:t>
            </w:r>
            <w:proofErr w:type="spellEnd"/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41.7%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T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3.402 ±0.429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3.426 ±0.429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m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97.9%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203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L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3.501 ±0.004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3.5 ±0.004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b/>
                <w:sz w:val="20"/>
                <w:szCs w:val="20"/>
              </w:rPr>
              <w:t>N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S </w:t>
            </w: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m </w:t>
            </w:r>
            <w:r>
              <w:rPr>
                <w:rFonts w:eastAsia="Calibri"/>
                <w:b/>
                <w:sz w:val="20"/>
                <w:szCs w:val="20"/>
              </w:rPr>
              <w:t>H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65.1%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204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Y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3.499 ±0.058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3.499 ±0.058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 </w:t>
            </w:r>
            <w:r>
              <w:rPr>
                <w:rFonts w:eastAsia="Calibri"/>
                <w:b/>
                <w:sz w:val="20"/>
                <w:szCs w:val="20"/>
              </w:rPr>
              <w:t>B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eastAsia="Calibri"/>
                <w:b/>
                <w:sz w:val="20"/>
                <w:szCs w:val="20"/>
              </w:rPr>
              <w:t xml:space="preserve"> 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eastAsia="Calibri"/>
                <w:b/>
                <w:sz w:val="20"/>
                <w:szCs w:val="20"/>
              </w:rPr>
              <w:t>R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a </w:t>
            </w:r>
            <w:r>
              <w:rPr>
                <w:rFonts w:eastAsia="Calibri"/>
                <w:b/>
                <w:sz w:val="20"/>
                <w:szCs w:val="20"/>
              </w:rPr>
              <w:t>P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b/>
                <w:sz w:val="20"/>
                <w:szCs w:val="20"/>
              </w:rPr>
              <w:t>α</w:t>
            </w:r>
            <w:r>
              <w:rPr>
                <w:rFonts w:eastAsia="Calibri"/>
                <w:b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33.6%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±0.004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±0.004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  <w:lang w:val="pt-PT"/>
              </w:rPr>
              <w:t xml:space="preserve">C  </w:t>
            </w:r>
            <w:r>
              <w:rPr>
                <w:rFonts w:eastAsia="Calibri"/>
                <w:sz w:val="20"/>
                <w:szCs w:val="20"/>
                <w:lang w:val="pt-PT"/>
              </w:rPr>
              <w:t>B</w:t>
            </w:r>
            <w:r>
              <w:rPr>
                <w:rFonts w:eastAsia="Calibri"/>
                <w:sz w:val="20"/>
                <w:szCs w:val="20"/>
                <w:vertAlign w:val="subscript"/>
                <w:lang w:val="pt-PT"/>
              </w:rPr>
              <w:t xml:space="preserve">I </w:t>
            </w:r>
            <w:r>
              <w:rPr>
                <w:rFonts w:eastAsia="Calibri"/>
                <w:sz w:val="20"/>
                <w:szCs w:val="20"/>
                <w:lang w:val="pt-PT"/>
              </w:rPr>
              <w:t>R</w:t>
            </w:r>
            <w:r>
              <w:rPr>
                <w:rFonts w:eastAsia="Calibri"/>
                <w:sz w:val="20"/>
                <w:szCs w:val="20"/>
                <w:vertAlign w:val="subscript"/>
                <w:lang w:val="pt-PT"/>
              </w:rPr>
              <w:t xml:space="preserve">a </w:t>
            </w:r>
            <w:r>
              <w:rPr>
                <w:rFonts w:eastAsia="Calibri"/>
                <w:sz w:val="20"/>
                <w:szCs w:val="20"/>
                <w:lang w:val="pt-PT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</w:rPr>
              <w:t>β</w:t>
            </w:r>
            <w:r>
              <w:rPr>
                <w:rFonts w:eastAsia="Calibri"/>
                <w:sz w:val="20"/>
                <w:szCs w:val="20"/>
                <w:vertAlign w:val="subscript"/>
                <w:lang w:val="pt-PT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  <w:lang w:val="pt-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40.0%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207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Y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3.45 ±0.308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3.462 ±0.308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β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35.3%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211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D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3.445 ±0.322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3.459 ± 0.322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88.7%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3.499 ±0.05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3.499 ±0.05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55.9%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214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V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3.356 ±0.535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3.383 ±0.535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47.6%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K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3.432 ±0.36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3.448 ±0.36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78.1%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217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±0.005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±0.005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 xml:space="preserve">C </w:t>
            </w: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45.0%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218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±0.035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±0.035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60.0%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Q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3.46 ±0.278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3.469 ±0.278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95.6%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222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3.254 ± 0.746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90.8%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223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W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3.488 ±0.148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3.491 ±0.148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55.7%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3.481 ±0.19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3.486 ±0.19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4.1%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226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3.465 ±0.259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3.473 ±0.259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60.2%</w:t>
            </w:r>
          </w:p>
        </w:tc>
      </w:tr>
      <w:tr w:rsidR="00E52BD2" w:rsidTr="00740947">
        <w:tc>
          <w:tcPr>
            <w:tcW w:w="1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231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S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3.394 ±0.445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3.42 ±0.445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19.9%</w:t>
            </w:r>
          </w:p>
        </w:tc>
      </w:tr>
      <w:tr w:rsidR="00E52BD2" w:rsidTr="00740947">
        <w:tc>
          <w:tcPr>
            <w:tcW w:w="116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62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H</w:t>
            </w:r>
          </w:p>
        </w:tc>
        <w:tc>
          <w:tcPr>
            <w:tcW w:w="148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3.501 ±0.019</w:t>
            </w:r>
          </w:p>
        </w:tc>
        <w:tc>
          <w:tcPr>
            <w:tcW w:w="15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3.5 ±0.019</w:t>
            </w:r>
          </w:p>
        </w:tc>
        <w:tc>
          <w:tcPr>
            <w:tcW w:w="126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α</w:t>
            </w:r>
            <w:r>
              <w:rPr>
                <w:rFonts w:eastAsia="Calibr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BD2" w:rsidRDefault="00E52BD2" w:rsidP="00740947">
            <w:pPr>
              <w:spacing w:after="0" w:line="100" w:lineRule="atLeast"/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84.3%</w:t>
            </w:r>
          </w:p>
        </w:tc>
      </w:tr>
    </w:tbl>
    <w:p w:rsidR="00E52BD2" w:rsidRDefault="00E52BD2" w:rsidP="00E52BD2">
      <w:pPr>
        <w:spacing w:after="0" w:line="100" w:lineRule="atLeast"/>
      </w:pPr>
    </w:p>
    <w:p w:rsidR="00E52BD2" w:rsidRDefault="00E52BD2" w:rsidP="00E52BD2">
      <w:pPr>
        <w:spacing w:line="100" w:lineRule="atLeast"/>
        <w:jc w:val="both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Amino-acid sites detected by PAML and </w:t>
      </w:r>
      <w:proofErr w:type="spellStart"/>
      <w:r>
        <w:rPr>
          <w:sz w:val="20"/>
          <w:szCs w:val="20"/>
        </w:rPr>
        <w:t>TreeSAAP</w:t>
      </w:r>
      <w:proofErr w:type="spellEnd"/>
      <w:r>
        <w:rPr>
          <w:sz w:val="20"/>
          <w:szCs w:val="20"/>
        </w:rPr>
        <w:t xml:space="preserve"> under positive selection along with the ω estimation and Bayesian (BEB) analysis posterior probabilities for sites with P ≥ 95% under M2a and M8 models. Sites simultaneously identified as positively-selected by nucleotide and protein-level assessment are highlighted in bold. </w:t>
      </w:r>
      <w:proofErr w:type="spellStart"/>
      <w:r>
        <w:rPr>
          <w:b/>
          <w:sz w:val="20"/>
          <w:szCs w:val="20"/>
        </w:rPr>
        <w:t>TreeSAAP</w:t>
      </w:r>
      <w:proofErr w:type="spellEnd"/>
      <w:r>
        <w:rPr>
          <w:sz w:val="20"/>
          <w:szCs w:val="20"/>
        </w:rPr>
        <w:t>: Radical changes in amino-acid properties (chemical, structural and other property changes) under category 6 and/or 7 and/or 8.</w:t>
      </w:r>
      <w:r>
        <w:rPr>
          <w:b/>
          <w:sz w:val="20"/>
          <w:szCs w:val="20"/>
        </w:rPr>
        <w:t xml:space="preserve"> Amino-acid property symbols used: </w:t>
      </w:r>
      <w:r>
        <w:rPr>
          <w:sz w:val="20"/>
          <w:szCs w:val="20"/>
        </w:rPr>
        <w:t xml:space="preserve">Average number of surrounding residues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Ns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iCs/>
          <w:sz w:val="20"/>
          <w:szCs w:val="20"/>
        </w:rPr>
        <w:t>β</w:t>
      </w:r>
      <w:r>
        <w:rPr>
          <w:sz w:val="20"/>
          <w:szCs w:val="20"/>
        </w:rPr>
        <w:t xml:space="preserve">-structure tendencies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Pβ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Bulkiness </w:t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iCs/>
          <w:sz w:val="20"/>
          <w:szCs w:val="20"/>
        </w:rPr>
        <w:t>Bl</w:t>
      </w:r>
      <w:proofErr w:type="spellEnd"/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Composition </w:t>
      </w:r>
      <w:r>
        <w:rPr>
          <w:b/>
          <w:i/>
          <w:sz w:val="20"/>
          <w:szCs w:val="20"/>
        </w:rPr>
        <w:t>(c),</w:t>
      </w:r>
      <w:r>
        <w:rPr>
          <w:sz w:val="20"/>
          <w:szCs w:val="20"/>
        </w:rPr>
        <w:t xml:space="preserve"> Chromatographic index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RF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Coil tendencies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Pc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Equilibrium constant for ionization of COOH </w:t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iCs/>
          <w:sz w:val="20"/>
          <w:szCs w:val="20"/>
        </w:rPr>
        <w:t>pK</w:t>
      </w:r>
      <w:proofErr w:type="spellEnd"/>
      <w:r>
        <w:rPr>
          <w:rFonts w:eastAsia="MTSYN"/>
          <w:b/>
          <w:i/>
          <w:sz w:val="20"/>
          <w:szCs w:val="20"/>
        </w:rPr>
        <w:t>’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Isoelectric point </w:t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pHi</w:t>
      </w:r>
      <w:proofErr w:type="spellEnd"/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Normalized consensus hydrophobicity </w:t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iCs/>
          <w:sz w:val="20"/>
          <w:szCs w:val="20"/>
        </w:rPr>
        <w:t>Hnc</w:t>
      </w:r>
      <w:proofErr w:type="spellEnd"/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Partial specific volume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V</w:t>
      </w:r>
      <w:r>
        <w:rPr>
          <w:b/>
          <w:i/>
          <w:sz w:val="20"/>
          <w:szCs w:val="20"/>
          <w:vertAlign w:val="superscript"/>
        </w:rPr>
        <w:t>0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Polar requirement </w:t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Pr</w:t>
      </w:r>
      <w:proofErr w:type="spellEnd"/>
      <w:r>
        <w:rPr>
          <w:b/>
          <w:i/>
          <w:sz w:val="20"/>
          <w:szCs w:val="20"/>
        </w:rPr>
        <w:t xml:space="preserve"> 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Power to be at C-terminus of the </w:t>
      </w:r>
      <w:r>
        <w:rPr>
          <w:i/>
          <w:iCs/>
          <w:sz w:val="20"/>
          <w:szCs w:val="20"/>
        </w:rPr>
        <w:t>α</w:t>
      </w:r>
      <w:r>
        <w:rPr>
          <w:sz w:val="20"/>
          <w:szCs w:val="20"/>
        </w:rPr>
        <w:t xml:space="preserve">-helix </w:t>
      </w:r>
      <w:r>
        <w:rPr>
          <w:b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αc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, Power to be in the middle of an </w:t>
      </w:r>
      <w:r>
        <w:rPr>
          <w:i/>
          <w:iCs/>
          <w:sz w:val="20"/>
          <w:szCs w:val="20"/>
        </w:rPr>
        <w:t>α</w:t>
      </w:r>
      <w:r>
        <w:rPr>
          <w:sz w:val="20"/>
          <w:szCs w:val="20"/>
        </w:rPr>
        <w:t xml:space="preserve">-helix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αm</w:t>
      </w:r>
      <w:r>
        <w:rPr>
          <w:b/>
          <w:i/>
          <w:sz w:val="20"/>
          <w:szCs w:val="20"/>
        </w:rPr>
        <w:t>),</w:t>
      </w:r>
      <w:r>
        <w:rPr>
          <w:sz w:val="20"/>
          <w:szCs w:val="20"/>
        </w:rPr>
        <w:t xml:space="preserve"> Solvent accessible reduction ratio </w:t>
      </w:r>
      <w:r>
        <w:rPr>
          <w:b/>
          <w:i/>
          <w:sz w:val="20"/>
          <w:szCs w:val="20"/>
        </w:rPr>
        <w:t>(</w:t>
      </w:r>
      <w:r>
        <w:rPr>
          <w:b/>
          <w:i/>
          <w:iCs/>
          <w:sz w:val="20"/>
          <w:szCs w:val="20"/>
        </w:rPr>
        <w:t>Ra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, Surrounding hydrophobicity </w:t>
      </w:r>
      <w:r>
        <w:rPr>
          <w:b/>
          <w:sz w:val="20"/>
          <w:szCs w:val="20"/>
        </w:rPr>
        <w:t>(</w:t>
      </w:r>
      <w:proofErr w:type="spellStart"/>
      <w:r>
        <w:rPr>
          <w:b/>
          <w:i/>
          <w:iCs/>
          <w:sz w:val="20"/>
          <w:szCs w:val="20"/>
        </w:rPr>
        <w:t>Hp</w:t>
      </w:r>
      <w:proofErr w:type="spellEnd"/>
      <w:r>
        <w:rPr>
          <w:b/>
          <w:sz w:val="20"/>
          <w:szCs w:val="20"/>
        </w:rPr>
        <w:t xml:space="preserve">). </w:t>
      </w:r>
    </w:p>
    <w:p w:rsidR="00B06D87" w:rsidRDefault="00B06D87"/>
    <w:sectPr w:rsidR="00B06D87" w:rsidSect="00E5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ＭＳ 明朝"/>
    <w:charset w:val="80"/>
    <w:family w:val="auto"/>
    <w:pitch w:val="variable"/>
  </w:font>
  <w:font w:name="MTSY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D2"/>
    <w:rsid w:val="00936E5C"/>
    <w:rsid w:val="00B06D87"/>
    <w:rsid w:val="00E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94DB-D7F0-4790-A65B-1068097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2BD2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Daniela Almeida</cp:lastModifiedBy>
  <cp:revision>2</cp:revision>
  <dcterms:created xsi:type="dcterms:W3CDTF">2014-08-30T11:53:00Z</dcterms:created>
  <dcterms:modified xsi:type="dcterms:W3CDTF">2014-08-30T11:53:00Z</dcterms:modified>
</cp:coreProperties>
</file>