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DA" w:rsidRPr="00B0064A" w:rsidRDefault="00C508AA" w:rsidP="00B0064A">
      <w:pPr>
        <w:spacing w:line="480" w:lineRule="auto"/>
        <w:jc w:val="both"/>
        <w:rPr>
          <w:rFonts w:ascii="Arial" w:hAnsi="Arial" w:cs="Arial"/>
          <w:b/>
          <w:sz w:val="24"/>
          <w:szCs w:val="24"/>
        </w:rPr>
      </w:pPr>
      <w:r>
        <w:rPr>
          <w:rFonts w:ascii="Arial" w:hAnsi="Arial" w:cs="Arial"/>
          <w:b/>
          <w:sz w:val="24"/>
          <w:szCs w:val="24"/>
        </w:rPr>
        <w:t>Data S1:</w:t>
      </w:r>
      <w:r w:rsidR="00DA4EDA" w:rsidRPr="00B0064A">
        <w:rPr>
          <w:rFonts w:ascii="Arial" w:hAnsi="Arial" w:cs="Arial"/>
          <w:b/>
          <w:sz w:val="24"/>
          <w:szCs w:val="24"/>
        </w:rPr>
        <w:t xml:space="preserve"> </w:t>
      </w:r>
    </w:p>
    <w:p w:rsidR="00776C59" w:rsidRPr="00B0064A" w:rsidRDefault="00B02694" w:rsidP="00B0064A">
      <w:pPr>
        <w:spacing w:line="480" w:lineRule="auto"/>
        <w:jc w:val="both"/>
        <w:rPr>
          <w:rFonts w:ascii="Arial" w:hAnsi="Arial" w:cs="Arial"/>
          <w:sz w:val="24"/>
          <w:szCs w:val="24"/>
        </w:rPr>
      </w:pPr>
      <w:r>
        <w:rPr>
          <w:rFonts w:ascii="Arial" w:hAnsi="Arial" w:cs="Arial"/>
          <w:b/>
          <w:i/>
          <w:sz w:val="24"/>
          <w:szCs w:val="24"/>
        </w:rPr>
        <w:t xml:space="preserve">A) </w:t>
      </w:r>
      <w:r w:rsidR="00776C59" w:rsidRPr="00B0064A">
        <w:rPr>
          <w:rFonts w:ascii="Arial" w:hAnsi="Arial" w:cs="Arial"/>
          <w:b/>
          <w:i/>
          <w:sz w:val="24"/>
          <w:szCs w:val="24"/>
        </w:rPr>
        <w:t>In vitro permeability studies:</w:t>
      </w:r>
      <w:r w:rsidR="00776C59" w:rsidRPr="00B0064A">
        <w:rPr>
          <w:rFonts w:ascii="Arial" w:hAnsi="Arial" w:cs="Arial"/>
          <w:i/>
          <w:sz w:val="24"/>
          <w:szCs w:val="24"/>
        </w:rPr>
        <w:t xml:space="preserve"> </w:t>
      </w:r>
      <w:r w:rsidR="00776C59" w:rsidRPr="00B0064A">
        <w:rPr>
          <w:rFonts w:ascii="Arial" w:hAnsi="Arial" w:cs="Arial"/>
          <w:sz w:val="24"/>
          <w:szCs w:val="24"/>
        </w:rPr>
        <w:t xml:space="preserve">In vitro drug permeability studies were evaluated in Caco-2 cells according </w:t>
      </w:r>
      <w:r w:rsidR="00804AFD" w:rsidRPr="00B0064A">
        <w:rPr>
          <w:rFonts w:ascii="Arial" w:hAnsi="Arial" w:cs="Arial"/>
          <w:sz w:val="24"/>
          <w:szCs w:val="24"/>
        </w:rPr>
        <w:t>to the standard procedures</w:t>
      </w:r>
      <w:r w:rsidR="00776C59" w:rsidRPr="00B0064A">
        <w:rPr>
          <w:rFonts w:ascii="Arial" w:hAnsi="Arial" w:cs="Arial"/>
          <w:sz w:val="24"/>
          <w:szCs w:val="24"/>
        </w:rPr>
        <w:t xml:space="preserve">, </w:t>
      </w:r>
      <w:r w:rsidR="00651610" w:rsidRPr="00B0064A">
        <w:rPr>
          <w:rFonts w:ascii="Arial" w:hAnsi="Arial" w:cs="Arial"/>
          <w:sz w:val="24"/>
          <w:szCs w:val="24"/>
        </w:rPr>
        <w:t>the</w:t>
      </w:r>
      <w:r w:rsidR="00776C59" w:rsidRPr="00B0064A">
        <w:rPr>
          <w:rFonts w:ascii="Arial" w:hAnsi="Arial" w:cs="Arial"/>
          <w:sz w:val="24"/>
          <w:szCs w:val="24"/>
        </w:rPr>
        <w:t xml:space="preserve"> detailed procedure was given supplementary material. detailed procedure. Caco-2 cells (passage #29) were cultured at 37°C with culture medium replaced every 2 days in an atmosphere of 5% CO2 and 95% relative humidity. Cells were harvested upon reaching approximately 80-90% confluence with 0.25% </w:t>
      </w:r>
      <w:proofErr w:type="spellStart"/>
      <w:r w:rsidR="00776C59" w:rsidRPr="00B0064A">
        <w:rPr>
          <w:rFonts w:ascii="Arial" w:hAnsi="Arial" w:cs="Arial"/>
          <w:sz w:val="24"/>
          <w:szCs w:val="24"/>
        </w:rPr>
        <w:t>trypsin</w:t>
      </w:r>
      <w:proofErr w:type="spellEnd"/>
      <w:r w:rsidR="00776C59" w:rsidRPr="00B0064A">
        <w:rPr>
          <w:rFonts w:ascii="Arial" w:hAnsi="Arial" w:cs="Arial"/>
          <w:sz w:val="24"/>
          <w:szCs w:val="24"/>
        </w:rPr>
        <w:t>–EDTA. Cells were grown on 1.12 cm</w:t>
      </w:r>
      <w:r w:rsidR="00776C59" w:rsidRPr="00B0064A">
        <w:rPr>
          <w:rFonts w:ascii="Arial" w:hAnsi="Arial" w:cs="Arial"/>
          <w:sz w:val="24"/>
          <w:szCs w:val="24"/>
          <w:vertAlign w:val="superscript"/>
        </w:rPr>
        <w:t>2</w:t>
      </w:r>
      <w:r w:rsidR="00776C59" w:rsidRPr="00B0064A">
        <w:rPr>
          <w:rFonts w:ascii="Arial" w:hAnsi="Arial" w:cs="Arial"/>
          <w:sz w:val="24"/>
          <w:szCs w:val="24"/>
        </w:rPr>
        <w:t xml:space="preserve"> 0.4 </w:t>
      </w:r>
      <w:proofErr w:type="spellStart"/>
      <w:r w:rsidR="00776C59" w:rsidRPr="00B0064A">
        <w:rPr>
          <w:rFonts w:ascii="Arial" w:hAnsi="Arial" w:cs="Arial"/>
          <w:sz w:val="24"/>
          <w:szCs w:val="24"/>
        </w:rPr>
        <w:t>μm</w:t>
      </w:r>
      <w:proofErr w:type="spellEnd"/>
      <w:r w:rsidR="00776C59" w:rsidRPr="00B0064A">
        <w:rPr>
          <w:rFonts w:ascii="Arial" w:hAnsi="Arial" w:cs="Arial"/>
          <w:sz w:val="24"/>
          <w:szCs w:val="24"/>
        </w:rPr>
        <w:t xml:space="preserve"> pore polycarbonate membrane inserts in 12 mm × 12 transwell permeable support plates (Corning, NY, USA). Caco-2 cells were seeded onto membranes at 50,000 cells/well. Individual wells received 1.5 </w:t>
      </w:r>
      <w:proofErr w:type="spellStart"/>
      <w:r w:rsidR="00776C59" w:rsidRPr="00B0064A">
        <w:rPr>
          <w:rFonts w:ascii="Arial" w:hAnsi="Arial" w:cs="Arial"/>
          <w:sz w:val="24"/>
          <w:szCs w:val="24"/>
        </w:rPr>
        <w:t>mL</w:t>
      </w:r>
      <w:proofErr w:type="spellEnd"/>
      <w:r w:rsidR="00776C59" w:rsidRPr="00B0064A">
        <w:rPr>
          <w:rFonts w:ascii="Arial" w:hAnsi="Arial" w:cs="Arial"/>
          <w:sz w:val="24"/>
          <w:szCs w:val="24"/>
        </w:rPr>
        <w:t xml:space="preserve"> of culture medium at the bottom and 0.5 </w:t>
      </w:r>
      <w:proofErr w:type="spellStart"/>
      <w:r w:rsidR="00776C59" w:rsidRPr="00B0064A">
        <w:rPr>
          <w:rFonts w:ascii="Arial" w:hAnsi="Arial" w:cs="Arial"/>
          <w:sz w:val="24"/>
          <w:szCs w:val="24"/>
        </w:rPr>
        <w:t>mL</w:t>
      </w:r>
      <w:proofErr w:type="spellEnd"/>
      <w:r w:rsidR="00776C59" w:rsidRPr="00B0064A">
        <w:rPr>
          <w:rFonts w:ascii="Arial" w:hAnsi="Arial" w:cs="Arial"/>
          <w:sz w:val="24"/>
          <w:szCs w:val="24"/>
        </w:rPr>
        <w:t xml:space="preserve"> of medium was added to the top of inserts which was changed on alternate days. Confluent monolayers were used for permeability studies at ~21 days post seeding. </w:t>
      </w:r>
      <w:proofErr w:type="spellStart"/>
      <w:r w:rsidR="00776C59" w:rsidRPr="00B0064A">
        <w:rPr>
          <w:rFonts w:ascii="Arial" w:hAnsi="Arial" w:cs="Arial"/>
          <w:color w:val="000000"/>
          <w:sz w:val="24"/>
          <w:szCs w:val="24"/>
        </w:rPr>
        <w:t>Transepithelial</w:t>
      </w:r>
      <w:proofErr w:type="spellEnd"/>
      <w:r w:rsidR="00776C59" w:rsidRPr="00B0064A">
        <w:rPr>
          <w:rFonts w:ascii="Arial" w:hAnsi="Arial" w:cs="Arial"/>
          <w:color w:val="000000"/>
          <w:sz w:val="24"/>
          <w:szCs w:val="24"/>
        </w:rPr>
        <w:t xml:space="preserve"> electrical resistance (TEER) of Caco-2 monolayers was measured prior to all experiments using the EVOM volt-ohm-meter (</w:t>
      </w:r>
      <w:proofErr w:type="spellStart"/>
      <w:r w:rsidR="00776C59" w:rsidRPr="00B0064A">
        <w:rPr>
          <w:rFonts w:ascii="Arial" w:hAnsi="Arial" w:cs="Arial"/>
          <w:color w:val="000000"/>
          <w:sz w:val="24"/>
          <w:szCs w:val="24"/>
        </w:rPr>
        <w:t>Millicell</w:t>
      </w:r>
      <w:proofErr w:type="spellEnd"/>
      <w:r w:rsidR="00776C59" w:rsidRPr="00B0064A">
        <w:rPr>
          <w:rFonts w:ascii="Arial" w:hAnsi="Arial" w:cs="Arial"/>
          <w:color w:val="000000"/>
          <w:sz w:val="24"/>
          <w:szCs w:val="24"/>
        </w:rPr>
        <w:t>-ERS; Millipore, USA) to ensure monolayer integrity. The TEER (Ω·cm</w:t>
      </w:r>
      <w:r w:rsidR="00776C59" w:rsidRPr="00B0064A">
        <w:rPr>
          <w:rFonts w:ascii="Arial" w:hAnsi="Arial" w:cs="Arial"/>
          <w:color w:val="000000"/>
          <w:sz w:val="24"/>
          <w:szCs w:val="24"/>
          <w:vertAlign w:val="superscript"/>
        </w:rPr>
        <w:t>2</w:t>
      </w:r>
      <w:r w:rsidR="00776C59" w:rsidRPr="00B0064A">
        <w:rPr>
          <w:rFonts w:ascii="Arial" w:hAnsi="Arial" w:cs="Arial"/>
          <w:color w:val="000000"/>
          <w:sz w:val="24"/>
          <w:szCs w:val="24"/>
        </w:rPr>
        <w:t>) values of the cell monolayers were determined by the resistance (Ω) × effective membrane area (cm</w:t>
      </w:r>
      <w:r w:rsidR="00776C59" w:rsidRPr="00B0064A">
        <w:rPr>
          <w:rFonts w:ascii="Arial" w:hAnsi="Arial" w:cs="Arial"/>
          <w:color w:val="000000"/>
          <w:sz w:val="24"/>
          <w:szCs w:val="24"/>
          <w:vertAlign w:val="superscript"/>
        </w:rPr>
        <w:t>2</w:t>
      </w:r>
      <w:r w:rsidR="00776C59" w:rsidRPr="00B0064A">
        <w:rPr>
          <w:rFonts w:ascii="Arial" w:hAnsi="Arial" w:cs="Arial"/>
          <w:color w:val="000000"/>
          <w:sz w:val="24"/>
          <w:szCs w:val="24"/>
        </w:rPr>
        <w:t xml:space="preserve">).  TEER values were measured across each cell monolayer prior to beginning the experimentation and at the last sample collection time point. Transport studies were initiated by removing culture medium from the apical (A) and </w:t>
      </w:r>
      <w:proofErr w:type="spellStart"/>
      <w:r w:rsidR="00776C59" w:rsidRPr="00B0064A">
        <w:rPr>
          <w:rFonts w:ascii="Arial" w:hAnsi="Arial" w:cs="Arial"/>
          <w:color w:val="000000"/>
          <w:sz w:val="24"/>
          <w:szCs w:val="24"/>
        </w:rPr>
        <w:t>basolateral</w:t>
      </w:r>
      <w:proofErr w:type="spellEnd"/>
      <w:r w:rsidR="00776C59" w:rsidRPr="00B0064A">
        <w:rPr>
          <w:rFonts w:ascii="Arial" w:hAnsi="Arial" w:cs="Arial"/>
          <w:color w:val="000000"/>
          <w:sz w:val="24"/>
          <w:szCs w:val="24"/>
        </w:rPr>
        <w:t xml:space="preserve"> (B) sides of the cell monolayer. Cells were washed once with HBSS (37°C), and replaced with fresh 10 </w:t>
      </w:r>
      <w:proofErr w:type="spellStart"/>
      <w:r w:rsidR="00776C59" w:rsidRPr="00B0064A">
        <w:rPr>
          <w:rFonts w:ascii="Arial" w:hAnsi="Arial" w:cs="Arial"/>
          <w:color w:val="000000"/>
          <w:sz w:val="24"/>
          <w:szCs w:val="24"/>
        </w:rPr>
        <w:t>mM</w:t>
      </w:r>
      <w:proofErr w:type="spellEnd"/>
      <w:r w:rsidR="00776C59" w:rsidRPr="00B0064A">
        <w:rPr>
          <w:rFonts w:ascii="Arial" w:hAnsi="Arial" w:cs="Arial"/>
          <w:color w:val="000000"/>
          <w:sz w:val="24"/>
          <w:szCs w:val="24"/>
        </w:rPr>
        <w:t xml:space="preserve"> 2-(N-</w:t>
      </w:r>
      <w:proofErr w:type="spellStart"/>
      <w:r w:rsidR="00776C59" w:rsidRPr="00B0064A">
        <w:rPr>
          <w:rFonts w:ascii="Arial" w:hAnsi="Arial" w:cs="Arial"/>
          <w:color w:val="000000"/>
          <w:sz w:val="24"/>
          <w:szCs w:val="24"/>
        </w:rPr>
        <w:t>morpholino</w:t>
      </w:r>
      <w:proofErr w:type="spellEnd"/>
      <w:r w:rsidR="00776C59" w:rsidRPr="00B0064A">
        <w:rPr>
          <w:rFonts w:ascii="Arial" w:hAnsi="Arial" w:cs="Arial"/>
          <w:color w:val="000000"/>
          <w:sz w:val="24"/>
          <w:szCs w:val="24"/>
        </w:rPr>
        <w:t xml:space="preserve">) </w:t>
      </w:r>
      <w:proofErr w:type="spellStart"/>
      <w:r w:rsidR="00776C59" w:rsidRPr="00B0064A">
        <w:rPr>
          <w:rFonts w:ascii="Arial" w:hAnsi="Arial" w:cs="Arial"/>
          <w:color w:val="000000"/>
          <w:sz w:val="24"/>
          <w:szCs w:val="24"/>
        </w:rPr>
        <w:t>ethanesulfonic</w:t>
      </w:r>
      <w:proofErr w:type="spellEnd"/>
      <w:r w:rsidR="00776C59" w:rsidRPr="00B0064A">
        <w:rPr>
          <w:rFonts w:ascii="Arial" w:hAnsi="Arial" w:cs="Arial"/>
          <w:color w:val="000000"/>
          <w:sz w:val="24"/>
          <w:szCs w:val="24"/>
        </w:rPr>
        <w:t xml:space="preserve"> acid (p</w:t>
      </w:r>
      <w:r w:rsidR="00776C59" w:rsidRPr="00B0064A">
        <w:rPr>
          <w:rFonts w:ascii="Arial" w:hAnsi="Arial" w:cs="Arial"/>
          <w:i/>
          <w:color w:val="000000"/>
          <w:sz w:val="24"/>
          <w:szCs w:val="24"/>
        </w:rPr>
        <w:t>H</w:t>
      </w:r>
      <w:r w:rsidR="00776C59" w:rsidRPr="00B0064A">
        <w:rPr>
          <w:rFonts w:ascii="Arial" w:hAnsi="Arial" w:cs="Arial"/>
          <w:color w:val="000000"/>
          <w:sz w:val="24"/>
          <w:szCs w:val="24"/>
        </w:rPr>
        <w:t xml:space="preserve"> 5.0-5.8) or HEPES (p</w:t>
      </w:r>
      <w:r w:rsidR="00776C59" w:rsidRPr="00B0064A">
        <w:rPr>
          <w:rFonts w:ascii="Arial" w:hAnsi="Arial" w:cs="Arial"/>
          <w:i/>
          <w:color w:val="000000"/>
          <w:sz w:val="24"/>
          <w:szCs w:val="24"/>
        </w:rPr>
        <w:t>H</w:t>
      </w:r>
      <w:r w:rsidR="00776C59" w:rsidRPr="00B0064A">
        <w:rPr>
          <w:rFonts w:ascii="Arial" w:hAnsi="Arial" w:cs="Arial"/>
          <w:color w:val="000000"/>
          <w:sz w:val="24"/>
          <w:szCs w:val="24"/>
        </w:rPr>
        <w:t xml:space="preserve"> 6.8-7.4) in HBSS, and equilibrated for 30 min.  The volumes of A and B compartments were 0.5 and 1.5 </w:t>
      </w:r>
      <w:proofErr w:type="spellStart"/>
      <w:r w:rsidR="00776C59" w:rsidRPr="00B0064A">
        <w:rPr>
          <w:rFonts w:ascii="Arial" w:hAnsi="Arial" w:cs="Arial"/>
          <w:color w:val="000000"/>
          <w:sz w:val="24"/>
          <w:szCs w:val="24"/>
        </w:rPr>
        <w:t>mL</w:t>
      </w:r>
      <w:proofErr w:type="spellEnd"/>
      <w:r w:rsidR="00776C59" w:rsidRPr="00B0064A">
        <w:rPr>
          <w:rFonts w:ascii="Arial" w:hAnsi="Arial" w:cs="Arial"/>
          <w:color w:val="000000"/>
          <w:sz w:val="24"/>
          <w:szCs w:val="24"/>
        </w:rPr>
        <w:t xml:space="preserve">, respectively.  The monolayers were placed onto a plate shaker set at 30 rpm throughout the experiment to </w:t>
      </w:r>
      <w:r w:rsidR="00776C59" w:rsidRPr="00B0064A">
        <w:rPr>
          <w:rFonts w:ascii="Arial" w:hAnsi="Arial" w:cs="Arial"/>
          <w:color w:val="000000"/>
          <w:sz w:val="24"/>
          <w:szCs w:val="24"/>
        </w:rPr>
        <w:lastRenderedPageBreak/>
        <w:t xml:space="preserve">minimize the influence of the aqueous boundary layer.  Cell monolayers were incubated for 120 min with continuous agitation at 37 °C with 100 µM of </w:t>
      </w:r>
      <w:r w:rsidR="00776C59" w:rsidRPr="00B0064A">
        <w:rPr>
          <w:rFonts w:ascii="Arial" w:hAnsi="Arial" w:cs="Arial"/>
          <w:bCs/>
          <w:color w:val="000000"/>
          <w:sz w:val="24"/>
          <w:szCs w:val="24"/>
        </w:rPr>
        <w:t>BBR and BA free drug</w:t>
      </w:r>
      <w:r w:rsidR="00776C59" w:rsidRPr="00B0064A">
        <w:rPr>
          <w:rFonts w:ascii="Arial" w:hAnsi="Arial" w:cs="Arial"/>
          <w:color w:val="000000"/>
          <w:sz w:val="24"/>
          <w:szCs w:val="24"/>
        </w:rPr>
        <w:t xml:space="preserve"> solution and BBR-SD &amp; BA-SD formulations (0.5 </w:t>
      </w:r>
      <w:proofErr w:type="spellStart"/>
      <w:r w:rsidR="00776C59" w:rsidRPr="00B0064A">
        <w:rPr>
          <w:rFonts w:ascii="Arial" w:hAnsi="Arial" w:cs="Arial"/>
          <w:color w:val="000000"/>
          <w:sz w:val="24"/>
          <w:szCs w:val="24"/>
        </w:rPr>
        <w:t>mL</w:t>
      </w:r>
      <w:proofErr w:type="spellEnd"/>
      <w:r w:rsidR="00776C59" w:rsidRPr="00B0064A">
        <w:rPr>
          <w:rFonts w:ascii="Arial" w:hAnsi="Arial" w:cs="Arial"/>
          <w:color w:val="000000"/>
          <w:sz w:val="24"/>
          <w:szCs w:val="24"/>
        </w:rPr>
        <w:t>) in the donor compartment at p</w:t>
      </w:r>
      <w:r w:rsidR="00776C59" w:rsidRPr="00B0064A">
        <w:rPr>
          <w:rFonts w:ascii="Arial" w:hAnsi="Arial" w:cs="Arial"/>
          <w:i/>
          <w:color w:val="000000"/>
          <w:sz w:val="24"/>
          <w:szCs w:val="24"/>
        </w:rPr>
        <w:t>H</w:t>
      </w:r>
      <w:r w:rsidR="00776C59" w:rsidRPr="00B0064A">
        <w:rPr>
          <w:rFonts w:ascii="Arial" w:hAnsi="Arial" w:cs="Arial"/>
          <w:color w:val="000000"/>
          <w:sz w:val="24"/>
          <w:szCs w:val="24"/>
        </w:rPr>
        <w:t xml:space="preserve"> 5.8. Samples were withdrawn from the receiver compartment after 120 min and drug concentrations were estimated by HPLC analysis. </w:t>
      </w:r>
      <w:r w:rsidR="00776C59" w:rsidRPr="00B0064A" w:rsidDel="00AE0285">
        <w:rPr>
          <w:rFonts w:ascii="Arial" w:hAnsi="Arial" w:cs="Arial"/>
          <w:color w:val="000000"/>
          <w:sz w:val="24"/>
          <w:szCs w:val="24"/>
        </w:rPr>
        <w:t xml:space="preserve">The </w:t>
      </w:r>
      <w:proofErr w:type="spellStart"/>
      <w:r w:rsidR="00776C59" w:rsidRPr="00B0064A" w:rsidDel="00AE0285">
        <w:rPr>
          <w:rFonts w:ascii="Arial" w:hAnsi="Arial" w:cs="Arial"/>
          <w:color w:val="000000"/>
          <w:sz w:val="24"/>
          <w:szCs w:val="24"/>
        </w:rPr>
        <w:t>paracellular</w:t>
      </w:r>
      <w:proofErr w:type="spellEnd"/>
      <w:r w:rsidR="00776C59" w:rsidRPr="00B0064A" w:rsidDel="00AE0285">
        <w:rPr>
          <w:rFonts w:ascii="Arial" w:hAnsi="Arial" w:cs="Arial"/>
          <w:color w:val="000000"/>
          <w:sz w:val="24"/>
          <w:szCs w:val="24"/>
        </w:rPr>
        <w:t xml:space="preserve"> integrity of </w:t>
      </w:r>
      <w:proofErr w:type="spellStart"/>
      <w:r w:rsidR="00776C59" w:rsidRPr="00B0064A" w:rsidDel="00AE0285">
        <w:rPr>
          <w:rFonts w:ascii="Arial" w:hAnsi="Arial" w:cs="Arial"/>
          <w:color w:val="000000"/>
          <w:sz w:val="24"/>
          <w:szCs w:val="24"/>
        </w:rPr>
        <w:t>monolayers</w:t>
      </w:r>
      <w:proofErr w:type="spellEnd"/>
      <w:r w:rsidR="00776C59" w:rsidRPr="00B0064A" w:rsidDel="00AE0285">
        <w:rPr>
          <w:rFonts w:ascii="Arial" w:hAnsi="Arial" w:cs="Arial"/>
          <w:color w:val="000000"/>
          <w:sz w:val="24"/>
          <w:szCs w:val="24"/>
        </w:rPr>
        <w:t xml:space="preserve"> was ensured based on low permeability of Lucifer yellow (a passive diffusional marker) and TEER</w:t>
      </w:r>
      <w:r w:rsidR="00776C59" w:rsidRPr="00B0064A">
        <w:rPr>
          <w:rFonts w:ascii="Arial" w:hAnsi="Arial" w:cs="Arial"/>
          <w:color w:val="000000"/>
          <w:sz w:val="24"/>
          <w:szCs w:val="24"/>
        </w:rPr>
        <w:t xml:space="preserve"> consistently above 350 Ω·cm</w:t>
      </w:r>
      <w:r w:rsidR="00776C59" w:rsidRPr="00B0064A">
        <w:rPr>
          <w:rFonts w:ascii="Arial" w:hAnsi="Arial" w:cs="Arial"/>
          <w:color w:val="000000"/>
          <w:sz w:val="24"/>
          <w:szCs w:val="24"/>
          <w:vertAlign w:val="superscript"/>
        </w:rPr>
        <w:t>2</w:t>
      </w:r>
      <w:r w:rsidR="00776C59" w:rsidRPr="00B0064A" w:rsidDel="00AE0285">
        <w:rPr>
          <w:rFonts w:ascii="Arial" w:hAnsi="Arial" w:cs="Arial"/>
          <w:color w:val="000000"/>
          <w:sz w:val="24"/>
          <w:szCs w:val="24"/>
        </w:rPr>
        <w:t xml:space="preserve">. </w:t>
      </w:r>
      <w:r w:rsidR="00776C59" w:rsidRPr="00B0064A">
        <w:rPr>
          <w:rFonts w:ascii="Arial" w:hAnsi="Arial" w:cs="Arial"/>
          <w:color w:val="000000"/>
          <w:sz w:val="24"/>
          <w:szCs w:val="24"/>
        </w:rPr>
        <w:t>The effective permeability (</w:t>
      </w:r>
      <w:proofErr w:type="spellStart"/>
      <w:r w:rsidR="00776C59" w:rsidRPr="00B0064A">
        <w:rPr>
          <w:rFonts w:ascii="Arial" w:hAnsi="Arial" w:cs="Arial"/>
          <w:i/>
          <w:iCs/>
          <w:color w:val="000000"/>
          <w:sz w:val="24"/>
          <w:szCs w:val="24"/>
        </w:rPr>
        <w:t>P</w:t>
      </w:r>
      <w:r w:rsidR="00776C59" w:rsidRPr="00B0064A">
        <w:rPr>
          <w:rFonts w:ascii="Arial" w:hAnsi="Arial" w:cs="Arial"/>
          <w:color w:val="000000"/>
          <w:sz w:val="24"/>
          <w:szCs w:val="24"/>
          <w:vertAlign w:val="subscript"/>
        </w:rPr>
        <w:t>eff</w:t>
      </w:r>
      <w:proofErr w:type="spellEnd"/>
      <w:r w:rsidR="00776C59" w:rsidRPr="00B0064A">
        <w:rPr>
          <w:rFonts w:ascii="Arial" w:hAnsi="Arial" w:cs="Arial"/>
          <w:color w:val="000000"/>
          <w:sz w:val="24"/>
          <w:szCs w:val="24"/>
        </w:rPr>
        <w:t xml:space="preserve">) (cm/s) was determined using Eq. 1: </w:t>
      </w:r>
    </w:p>
    <w:tbl>
      <w:tblPr>
        <w:tblW w:w="0" w:type="auto"/>
        <w:jc w:val="center"/>
        <w:tblLayout w:type="fixed"/>
        <w:tblLook w:val="01E0"/>
      </w:tblPr>
      <w:tblGrid>
        <w:gridCol w:w="7920"/>
        <w:gridCol w:w="720"/>
      </w:tblGrid>
      <w:tr w:rsidR="00776C59" w:rsidRPr="00B0064A" w:rsidTr="00FA2C03">
        <w:trPr>
          <w:jc w:val="center"/>
        </w:trPr>
        <w:tc>
          <w:tcPr>
            <w:tcW w:w="7920" w:type="dxa"/>
            <w:shd w:val="clear" w:color="auto" w:fill="auto"/>
            <w:vAlign w:val="center"/>
          </w:tcPr>
          <w:p w:rsidR="00776C59" w:rsidRPr="00B0064A" w:rsidRDefault="00776C59" w:rsidP="00B0064A">
            <w:pPr>
              <w:tabs>
                <w:tab w:val="left" w:pos="360"/>
              </w:tabs>
              <w:spacing w:line="480" w:lineRule="auto"/>
              <w:jc w:val="both"/>
              <w:rPr>
                <w:rFonts w:ascii="Arial" w:hAnsi="Arial" w:cs="Arial"/>
                <w:color w:val="000000"/>
                <w:sz w:val="24"/>
                <w:szCs w:val="24"/>
              </w:rPr>
            </w:pPr>
            <w:r w:rsidRPr="00B0064A">
              <w:rPr>
                <w:rFonts w:ascii="Arial" w:hAnsi="Arial" w:cs="Arial"/>
                <w:color w:val="000000"/>
                <w:position w:val="-30"/>
                <w:sz w:val="24"/>
                <w:szCs w:val="24"/>
              </w:rPr>
              <w:object w:dxaOrig="18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5pt;height:34.8pt" o:ole="">
                  <v:imagedata r:id="rId5" o:title=""/>
                </v:shape>
                <o:OLEObject Type="Embed" ProgID="Equation.3" ShapeID="_x0000_i1025" DrawAspect="Content" ObjectID="_1453891424" r:id="rId6"/>
              </w:object>
            </w:r>
          </w:p>
        </w:tc>
        <w:tc>
          <w:tcPr>
            <w:tcW w:w="720" w:type="dxa"/>
            <w:shd w:val="clear" w:color="auto" w:fill="auto"/>
            <w:vAlign w:val="center"/>
          </w:tcPr>
          <w:p w:rsidR="00776C59" w:rsidRPr="00B0064A" w:rsidRDefault="00776C59" w:rsidP="00B0064A">
            <w:pPr>
              <w:numPr>
                <w:ilvl w:val="0"/>
                <w:numId w:val="1"/>
              </w:numPr>
              <w:spacing w:after="0" w:line="480" w:lineRule="auto"/>
              <w:jc w:val="both"/>
              <w:rPr>
                <w:rFonts w:ascii="Arial" w:hAnsi="Arial" w:cs="Arial"/>
                <w:color w:val="000000"/>
                <w:sz w:val="24"/>
                <w:szCs w:val="24"/>
              </w:rPr>
            </w:pPr>
          </w:p>
        </w:tc>
      </w:tr>
    </w:tbl>
    <w:p w:rsidR="00776C59" w:rsidRPr="00B0064A" w:rsidRDefault="00776C59" w:rsidP="00B0064A">
      <w:pPr>
        <w:spacing w:line="480" w:lineRule="auto"/>
        <w:jc w:val="both"/>
        <w:rPr>
          <w:rFonts w:ascii="Arial" w:hAnsi="Arial" w:cs="Arial"/>
          <w:color w:val="000000"/>
          <w:sz w:val="24"/>
          <w:szCs w:val="24"/>
        </w:rPr>
      </w:pPr>
      <w:r w:rsidRPr="00B0064A">
        <w:rPr>
          <w:rFonts w:ascii="Arial" w:hAnsi="Arial" w:cs="Arial"/>
          <w:color w:val="000000"/>
          <w:sz w:val="24"/>
          <w:szCs w:val="24"/>
        </w:rPr>
        <w:t xml:space="preserve">where, </w:t>
      </w:r>
      <w:r w:rsidRPr="00B0064A">
        <w:rPr>
          <w:rFonts w:ascii="Arial" w:hAnsi="Arial" w:cs="Arial"/>
          <w:i/>
          <w:iCs/>
          <w:color w:val="000000"/>
          <w:sz w:val="24"/>
          <w:szCs w:val="24"/>
        </w:rPr>
        <w:t>V</w:t>
      </w:r>
      <w:r w:rsidRPr="00B0064A">
        <w:rPr>
          <w:rFonts w:ascii="Arial" w:hAnsi="Arial" w:cs="Arial"/>
          <w:color w:val="000000"/>
          <w:sz w:val="24"/>
          <w:szCs w:val="24"/>
          <w:vertAlign w:val="subscript"/>
        </w:rPr>
        <w:t>R</w:t>
      </w:r>
      <w:r w:rsidRPr="00B0064A">
        <w:rPr>
          <w:rFonts w:ascii="Arial" w:hAnsi="Arial" w:cs="Arial"/>
          <w:color w:val="000000"/>
          <w:sz w:val="24"/>
          <w:szCs w:val="24"/>
        </w:rPr>
        <w:t xml:space="preserve"> is the volume of the receptor chamber, </w:t>
      </w:r>
      <w:r w:rsidRPr="00B0064A">
        <w:rPr>
          <w:rFonts w:ascii="Arial" w:hAnsi="Arial" w:cs="Arial"/>
          <w:i/>
          <w:iCs/>
          <w:color w:val="000000"/>
          <w:sz w:val="24"/>
          <w:szCs w:val="24"/>
        </w:rPr>
        <w:t xml:space="preserve">A </w:t>
      </w:r>
      <w:r w:rsidRPr="00B0064A">
        <w:rPr>
          <w:rFonts w:ascii="Arial" w:hAnsi="Arial" w:cs="Arial"/>
          <w:color w:val="000000"/>
          <w:sz w:val="24"/>
          <w:szCs w:val="24"/>
        </w:rPr>
        <w:t xml:space="preserve">is the surface area of the filter, </w:t>
      </w:r>
      <w:r w:rsidRPr="00B0064A">
        <w:rPr>
          <w:rFonts w:ascii="Arial" w:hAnsi="Arial" w:cs="Arial"/>
          <w:i/>
          <w:iCs/>
          <w:color w:val="000000"/>
          <w:sz w:val="24"/>
          <w:szCs w:val="24"/>
        </w:rPr>
        <w:t>C</w:t>
      </w:r>
      <w:r w:rsidRPr="00B0064A">
        <w:rPr>
          <w:rFonts w:ascii="Arial" w:hAnsi="Arial" w:cs="Arial"/>
          <w:color w:val="000000"/>
          <w:sz w:val="24"/>
          <w:szCs w:val="24"/>
          <w:vertAlign w:val="subscript"/>
        </w:rPr>
        <w:t>o</w:t>
      </w:r>
      <w:r w:rsidRPr="00B0064A">
        <w:rPr>
          <w:rFonts w:ascii="Arial" w:hAnsi="Arial" w:cs="Arial"/>
          <w:color w:val="000000"/>
          <w:sz w:val="24"/>
          <w:szCs w:val="24"/>
        </w:rPr>
        <w:t xml:space="preserve"> is the initial donor concentration, and </w:t>
      </w:r>
      <w:proofErr w:type="spellStart"/>
      <w:r w:rsidRPr="00B0064A">
        <w:rPr>
          <w:rFonts w:ascii="Arial" w:hAnsi="Arial" w:cs="Arial"/>
          <w:color w:val="000000"/>
          <w:sz w:val="24"/>
          <w:szCs w:val="24"/>
        </w:rPr>
        <w:t>d</w:t>
      </w:r>
      <w:r w:rsidRPr="00B0064A">
        <w:rPr>
          <w:rFonts w:ascii="Arial" w:hAnsi="Arial" w:cs="Arial"/>
          <w:i/>
          <w:iCs/>
          <w:color w:val="000000"/>
          <w:sz w:val="24"/>
          <w:szCs w:val="24"/>
        </w:rPr>
        <w:t>C</w:t>
      </w:r>
      <w:proofErr w:type="spellEnd"/>
      <w:r w:rsidRPr="00B0064A">
        <w:rPr>
          <w:rFonts w:ascii="Arial" w:hAnsi="Arial" w:cs="Arial"/>
          <w:color w:val="000000"/>
          <w:sz w:val="24"/>
          <w:szCs w:val="24"/>
        </w:rPr>
        <w:t>/</w:t>
      </w:r>
      <w:proofErr w:type="spellStart"/>
      <w:r w:rsidRPr="00B0064A">
        <w:rPr>
          <w:rFonts w:ascii="Arial" w:hAnsi="Arial" w:cs="Arial"/>
          <w:color w:val="000000"/>
          <w:sz w:val="24"/>
          <w:szCs w:val="24"/>
        </w:rPr>
        <w:t>dt</w:t>
      </w:r>
      <w:proofErr w:type="spellEnd"/>
      <w:r w:rsidRPr="00B0064A">
        <w:rPr>
          <w:rFonts w:ascii="Arial" w:hAnsi="Arial" w:cs="Arial"/>
          <w:i/>
          <w:iCs/>
          <w:color w:val="000000"/>
          <w:sz w:val="24"/>
          <w:szCs w:val="24"/>
        </w:rPr>
        <w:t xml:space="preserve"> </w:t>
      </w:r>
      <w:r w:rsidRPr="00B0064A">
        <w:rPr>
          <w:rFonts w:ascii="Arial" w:hAnsi="Arial" w:cs="Arial"/>
          <w:iCs/>
          <w:color w:val="000000"/>
          <w:sz w:val="24"/>
          <w:szCs w:val="24"/>
        </w:rPr>
        <w:t>is</w:t>
      </w:r>
      <w:r w:rsidRPr="00B0064A">
        <w:rPr>
          <w:rFonts w:ascii="Arial" w:hAnsi="Arial" w:cs="Arial"/>
          <w:color w:val="000000"/>
          <w:sz w:val="24"/>
          <w:szCs w:val="24"/>
        </w:rPr>
        <w:t xml:space="preserve"> the slope of the cumulative concentration in the receiver chamber with time.</w:t>
      </w:r>
    </w:p>
    <w:p w:rsidR="00776C59" w:rsidRPr="00B0064A" w:rsidRDefault="00776C59" w:rsidP="00B0064A">
      <w:pPr>
        <w:spacing w:line="480" w:lineRule="auto"/>
        <w:jc w:val="both"/>
        <w:rPr>
          <w:rFonts w:ascii="Arial" w:hAnsi="Arial" w:cs="Arial"/>
          <w:color w:val="000000"/>
          <w:sz w:val="24"/>
          <w:szCs w:val="24"/>
        </w:rPr>
      </w:pPr>
    </w:p>
    <w:p w:rsidR="00776C59" w:rsidRPr="00B0064A" w:rsidRDefault="00B02694" w:rsidP="00B0064A">
      <w:pPr>
        <w:spacing w:line="480" w:lineRule="auto"/>
        <w:jc w:val="both"/>
        <w:rPr>
          <w:rFonts w:ascii="Arial" w:hAnsi="Arial" w:cs="Arial"/>
          <w:color w:val="000000"/>
          <w:sz w:val="24"/>
          <w:szCs w:val="24"/>
        </w:rPr>
      </w:pPr>
      <w:r>
        <w:rPr>
          <w:rFonts w:ascii="Arial" w:hAnsi="Arial" w:cs="Arial"/>
          <w:b/>
          <w:i/>
          <w:color w:val="000000"/>
          <w:sz w:val="24"/>
          <w:szCs w:val="24"/>
        </w:rPr>
        <w:t xml:space="preserve">B) </w:t>
      </w:r>
      <w:r w:rsidR="00776C59" w:rsidRPr="00B0064A">
        <w:rPr>
          <w:rFonts w:ascii="Arial" w:hAnsi="Arial" w:cs="Arial"/>
          <w:b/>
          <w:i/>
          <w:color w:val="000000"/>
          <w:sz w:val="24"/>
          <w:szCs w:val="24"/>
        </w:rPr>
        <w:t>Western blot analysis</w:t>
      </w:r>
      <w:r w:rsidR="00776C59" w:rsidRPr="00B0064A">
        <w:rPr>
          <w:rFonts w:ascii="Arial" w:hAnsi="Arial" w:cs="Arial"/>
          <w:i/>
          <w:color w:val="000000"/>
          <w:sz w:val="24"/>
          <w:szCs w:val="24"/>
        </w:rPr>
        <w:t>:</w:t>
      </w:r>
      <w:r w:rsidR="00776C59" w:rsidRPr="00B0064A">
        <w:rPr>
          <w:rFonts w:ascii="Arial" w:hAnsi="Arial" w:cs="Arial"/>
          <w:color w:val="000000"/>
          <w:sz w:val="24"/>
          <w:szCs w:val="24"/>
        </w:rPr>
        <w:t xml:space="preserve">  western blot analysis was performed to study the expression of</w:t>
      </w:r>
      <w:r w:rsidR="00776C59" w:rsidRPr="00B0064A">
        <w:rPr>
          <w:rFonts w:ascii="Arial" w:hAnsi="Arial" w:cs="Arial"/>
          <w:b/>
          <w:color w:val="000000"/>
          <w:sz w:val="24"/>
          <w:szCs w:val="24"/>
        </w:rPr>
        <w:t xml:space="preserve"> </w:t>
      </w:r>
      <w:r w:rsidR="00776C59" w:rsidRPr="00B0064A">
        <w:rPr>
          <w:rFonts w:ascii="Arial" w:hAnsi="Arial" w:cs="Arial"/>
          <w:color w:val="000000"/>
          <w:sz w:val="24"/>
          <w:szCs w:val="24"/>
        </w:rPr>
        <w:t xml:space="preserve">Bcl-2, cleaved caspase 3, survivin, cyclin D1, </w:t>
      </w:r>
      <w:r w:rsidR="00776C59" w:rsidRPr="00B0064A">
        <w:rPr>
          <w:rFonts w:ascii="Arial" w:hAnsi="Arial" w:cs="Arial"/>
          <w:sz w:val="24"/>
          <w:szCs w:val="24"/>
        </w:rPr>
        <w:t>p53</w:t>
      </w:r>
      <w:r w:rsidR="00776C59" w:rsidRPr="00B0064A">
        <w:rPr>
          <w:rFonts w:ascii="Arial" w:hAnsi="Arial" w:cs="Arial"/>
          <w:color w:val="000000"/>
          <w:sz w:val="24"/>
          <w:szCs w:val="24"/>
        </w:rPr>
        <w:t xml:space="preserve">, MMP-9, HIF-1α. The detailed procedure was given in supplementary data. </w:t>
      </w:r>
      <w:r w:rsidR="00776C59" w:rsidRPr="00B0064A">
        <w:rPr>
          <w:rFonts w:ascii="Arial" w:hAnsi="Arial" w:cs="Arial"/>
          <w:b/>
          <w:color w:val="000000"/>
          <w:sz w:val="24"/>
          <w:szCs w:val="24"/>
        </w:rPr>
        <w:t xml:space="preserve">  </w:t>
      </w:r>
      <w:r w:rsidR="00776C59" w:rsidRPr="00B0064A">
        <w:rPr>
          <w:rFonts w:ascii="Arial" w:hAnsi="Arial" w:cs="Arial"/>
          <w:color w:val="000000"/>
          <w:sz w:val="24"/>
          <w:szCs w:val="24"/>
        </w:rPr>
        <w:t xml:space="preserve">Protein was extracted from tumor tissues collected from untreated control and drug treated animals using RIPA </w:t>
      </w:r>
      <w:proofErr w:type="spellStart"/>
      <w:r w:rsidR="00776C59" w:rsidRPr="00B0064A">
        <w:rPr>
          <w:rFonts w:ascii="Arial" w:hAnsi="Arial" w:cs="Arial"/>
          <w:color w:val="000000"/>
          <w:sz w:val="24"/>
          <w:szCs w:val="24"/>
        </w:rPr>
        <w:t>lysis</w:t>
      </w:r>
      <w:proofErr w:type="spellEnd"/>
      <w:r w:rsidR="00776C59" w:rsidRPr="00B0064A">
        <w:rPr>
          <w:rFonts w:ascii="Arial" w:hAnsi="Arial" w:cs="Arial"/>
          <w:color w:val="000000"/>
          <w:sz w:val="24"/>
          <w:szCs w:val="24"/>
        </w:rPr>
        <w:t xml:space="preserve"> buffer (50mM </w:t>
      </w:r>
      <w:proofErr w:type="spellStart"/>
      <w:r w:rsidR="00776C59" w:rsidRPr="00B0064A">
        <w:rPr>
          <w:rFonts w:ascii="Arial" w:hAnsi="Arial" w:cs="Arial"/>
          <w:color w:val="000000"/>
          <w:sz w:val="24"/>
          <w:szCs w:val="24"/>
        </w:rPr>
        <w:t>Tris</w:t>
      </w:r>
      <w:proofErr w:type="spellEnd"/>
      <w:r w:rsidR="00776C59" w:rsidRPr="00B0064A">
        <w:rPr>
          <w:rFonts w:ascii="Arial" w:hAnsi="Arial" w:cs="Arial"/>
          <w:color w:val="000000"/>
          <w:sz w:val="24"/>
          <w:szCs w:val="24"/>
        </w:rPr>
        <w:t xml:space="preserve">-HCL, pH 8.0, with 150 </w:t>
      </w:r>
      <w:proofErr w:type="spellStart"/>
      <w:r w:rsidR="00776C59" w:rsidRPr="00B0064A">
        <w:rPr>
          <w:rFonts w:ascii="Arial" w:hAnsi="Arial" w:cs="Arial"/>
          <w:color w:val="000000"/>
          <w:sz w:val="24"/>
          <w:szCs w:val="24"/>
        </w:rPr>
        <w:t>mM</w:t>
      </w:r>
      <w:proofErr w:type="spellEnd"/>
      <w:r w:rsidR="00776C59" w:rsidRPr="00B0064A">
        <w:rPr>
          <w:rFonts w:ascii="Arial" w:hAnsi="Arial" w:cs="Arial"/>
          <w:color w:val="000000"/>
          <w:sz w:val="24"/>
          <w:szCs w:val="24"/>
        </w:rPr>
        <w:t xml:space="preserve"> sodium chloride, 1.0% </w:t>
      </w:r>
      <w:proofErr w:type="spellStart"/>
      <w:r w:rsidR="00776C59" w:rsidRPr="00B0064A">
        <w:rPr>
          <w:rFonts w:ascii="Arial" w:hAnsi="Arial" w:cs="Arial"/>
          <w:color w:val="000000"/>
          <w:sz w:val="24"/>
          <w:szCs w:val="24"/>
        </w:rPr>
        <w:t>Igepal</w:t>
      </w:r>
      <w:proofErr w:type="spellEnd"/>
      <w:r w:rsidR="00776C59" w:rsidRPr="00B0064A">
        <w:rPr>
          <w:rFonts w:ascii="Arial" w:hAnsi="Arial" w:cs="Arial"/>
          <w:color w:val="000000"/>
          <w:sz w:val="24"/>
          <w:szCs w:val="24"/>
        </w:rPr>
        <w:t xml:space="preserve"> CA-630 (NP-40), 0.5% sodium </w:t>
      </w:r>
      <w:proofErr w:type="spellStart"/>
      <w:r w:rsidR="00776C59" w:rsidRPr="00B0064A">
        <w:rPr>
          <w:rFonts w:ascii="Arial" w:hAnsi="Arial" w:cs="Arial"/>
          <w:color w:val="000000"/>
          <w:sz w:val="24"/>
          <w:szCs w:val="24"/>
        </w:rPr>
        <w:t>deoxychlorate</w:t>
      </w:r>
      <w:proofErr w:type="spellEnd"/>
      <w:r w:rsidR="00776C59" w:rsidRPr="00B0064A">
        <w:rPr>
          <w:rFonts w:ascii="Arial" w:hAnsi="Arial" w:cs="Arial"/>
          <w:color w:val="000000"/>
          <w:sz w:val="24"/>
          <w:szCs w:val="24"/>
        </w:rPr>
        <w:t xml:space="preserve">, and 0.1% sodium dodecyl sulfate) with protease inhibitor and 500 </w:t>
      </w:r>
      <w:proofErr w:type="spellStart"/>
      <w:r w:rsidR="00776C59" w:rsidRPr="00B0064A">
        <w:rPr>
          <w:rFonts w:ascii="Arial" w:hAnsi="Arial" w:cs="Arial"/>
          <w:color w:val="000000"/>
          <w:sz w:val="24"/>
          <w:szCs w:val="24"/>
        </w:rPr>
        <w:t>mM</w:t>
      </w:r>
      <w:proofErr w:type="spellEnd"/>
      <w:r w:rsidR="00776C59" w:rsidRPr="00B0064A">
        <w:rPr>
          <w:rFonts w:ascii="Arial" w:hAnsi="Arial" w:cs="Arial"/>
          <w:color w:val="000000"/>
          <w:sz w:val="24"/>
          <w:szCs w:val="24"/>
        </w:rPr>
        <w:t xml:space="preserve"> </w:t>
      </w:r>
      <w:proofErr w:type="spellStart"/>
      <w:r w:rsidR="00776C59" w:rsidRPr="00B0064A">
        <w:rPr>
          <w:rFonts w:ascii="Arial" w:hAnsi="Arial" w:cs="Arial"/>
          <w:color w:val="000000"/>
          <w:sz w:val="24"/>
          <w:szCs w:val="24"/>
        </w:rPr>
        <w:t>phenylmethylsulfonyl</w:t>
      </w:r>
      <w:proofErr w:type="spellEnd"/>
      <w:r w:rsidR="00776C59" w:rsidRPr="00B0064A">
        <w:rPr>
          <w:rFonts w:ascii="Arial" w:hAnsi="Arial" w:cs="Arial"/>
          <w:color w:val="000000"/>
          <w:sz w:val="24"/>
          <w:szCs w:val="24"/>
        </w:rPr>
        <w:t xml:space="preserve"> fluoride. Protein concentration was measured using BCA Protein Assay Reagent Kit (PIERCE, Rockford, IL). Equal </w:t>
      </w:r>
      <w:r w:rsidR="00776C59" w:rsidRPr="00B0064A">
        <w:rPr>
          <w:rFonts w:ascii="Arial" w:hAnsi="Arial" w:cs="Arial"/>
          <w:color w:val="000000"/>
          <w:sz w:val="24"/>
          <w:szCs w:val="24"/>
        </w:rPr>
        <w:lastRenderedPageBreak/>
        <w:t xml:space="preserve">amounts of supernatant protein (50 </w:t>
      </w:r>
      <w:proofErr w:type="spellStart"/>
      <w:r w:rsidR="00776C59" w:rsidRPr="00B0064A">
        <w:rPr>
          <w:rFonts w:ascii="Arial" w:hAnsi="Arial" w:cs="Arial"/>
          <w:color w:val="000000"/>
          <w:sz w:val="24"/>
          <w:szCs w:val="24"/>
        </w:rPr>
        <w:t>μg</w:t>
      </w:r>
      <w:proofErr w:type="spellEnd"/>
      <w:r w:rsidR="00776C59" w:rsidRPr="00B0064A">
        <w:rPr>
          <w:rFonts w:ascii="Arial" w:hAnsi="Arial" w:cs="Arial"/>
          <w:color w:val="000000"/>
          <w:sz w:val="24"/>
          <w:szCs w:val="24"/>
        </w:rPr>
        <w:t xml:space="preserve">) was denatured by boiling for 5 min in SDS sample buffer, separated by 10% SDS-PAGE, transferred to nitrocellulose membranes for </w:t>
      </w:r>
      <w:proofErr w:type="spellStart"/>
      <w:r w:rsidR="00776C59" w:rsidRPr="00B0064A">
        <w:rPr>
          <w:rFonts w:ascii="Arial" w:hAnsi="Arial" w:cs="Arial"/>
          <w:color w:val="000000"/>
          <w:sz w:val="24"/>
          <w:szCs w:val="24"/>
        </w:rPr>
        <w:t>immunoblotting</w:t>
      </w:r>
      <w:proofErr w:type="spellEnd"/>
      <w:r w:rsidR="00776C59" w:rsidRPr="00B0064A">
        <w:rPr>
          <w:rFonts w:ascii="Arial" w:hAnsi="Arial" w:cs="Arial"/>
          <w:color w:val="000000"/>
          <w:sz w:val="24"/>
          <w:szCs w:val="24"/>
        </w:rPr>
        <w:t xml:space="preserve">. Membranes were blocked with 5% skim milk in </w:t>
      </w:r>
      <w:proofErr w:type="spellStart"/>
      <w:r w:rsidR="00776C59" w:rsidRPr="00B0064A">
        <w:rPr>
          <w:rFonts w:ascii="Arial" w:hAnsi="Arial" w:cs="Arial"/>
          <w:color w:val="000000"/>
          <w:sz w:val="24"/>
          <w:szCs w:val="24"/>
        </w:rPr>
        <w:t>Tris</w:t>
      </w:r>
      <w:proofErr w:type="spellEnd"/>
      <w:r w:rsidR="00776C59" w:rsidRPr="00B0064A">
        <w:rPr>
          <w:rFonts w:ascii="Arial" w:hAnsi="Arial" w:cs="Arial"/>
          <w:color w:val="000000"/>
          <w:sz w:val="24"/>
          <w:szCs w:val="24"/>
        </w:rPr>
        <w:t xml:space="preserve">-buffered saline with </w:t>
      </w:r>
      <w:proofErr w:type="spellStart"/>
      <w:r w:rsidR="00776C59" w:rsidRPr="00B0064A">
        <w:rPr>
          <w:rFonts w:ascii="Arial" w:hAnsi="Arial" w:cs="Arial"/>
          <w:color w:val="000000"/>
          <w:sz w:val="24"/>
          <w:szCs w:val="24"/>
        </w:rPr>
        <w:t>Tween</w:t>
      </w:r>
      <w:proofErr w:type="spellEnd"/>
      <w:r w:rsidR="00776C59" w:rsidRPr="00B0064A">
        <w:rPr>
          <w:rFonts w:ascii="Arial" w:hAnsi="Arial" w:cs="Arial"/>
          <w:color w:val="000000"/>
          <w:sz w:val="24"/>
          <w:szCs w:val="24"/>
        </w:rPr>
        <w:t xml:space="preserve"> 20 [10mM </w:t>
      </w:r>
      <w:proofErr w:type="spellStart"/>
      <w:r w:rsidR="00776C59" w:rsidRPr="00B0064A">
        <w:rPr>
          <w:rFonts w:ascii="Arial" w:hAnsi="Arial" w:cs="Arial"/>
          <w:color w:val="000000"/>
          <w:sz w:val="24"/>
          <w:szCs w:val="24"/>
        </w:rPr>
        <w:t>Tris</w:t>
      </w:r>
      <w:proofErr w:type="spellEnd"/>
      <w:r w:rsidR="00776C59" w:rsidRPr="00B0064A">
        <w:rPr>
          <w:rFonts w:ascii="Arial" w:hAnsi="Arial" w:cs="Arial"/>
          <w:color w:val="000000"/>
          <w:sz w:val="24"/>
          <w:szCs w:val="24"/>
        </w:rPr>
        <w:t xml:space="preserve">-HCL (pH 7.6), 150 </w:t>
      </w:r>
      <w:proofErr w:type="spellStart"/>
      <w:r w:rsidR="00776C59" w:rsidRPr="00B0064A">
        <w:rPr>
          <w:rFonts w:ascii="Arial" w:hAnsi="Arial" w:cs="Arial"/>
          <w:color w:val="000000"/>
          <w:sz w:val="24"/>
          <w:szCs w:val="24"/>
        </w:rPr>
        <w:t>mM</w:t>
      </w:r>
      <w:proofErr w:type="spellEnd"/>
      <w:r w:rsidR="00776C59" w:rsidRPr="00B0064A">
        <w:rPr>
          <w:rFonts w:ascii="Arial" w:hAnsi="Arial" w:cs="Arial"/>
          <w:color w:val="000000"/>
          <w:sz w:val="24"/>
          <w:szCs w:val="24"/>
        </w:rPr>
        <w:t xml:space="preserve"> </w:t>
      </w:r>
      <w:proofErr w:type="spellStart"/>
      <w:r w:rsidR="00776C59" w:rsidRPr="00B0064A">
        <w:rPr>
          <w:rFonts w:ascii="Arial" w:hAnsi="Arial" w:cs="Arial"/>
          <w:color w:val="000000"/>
          <w:sz w:val="24"/>
          <w:szCs w:val="24"/>
        </w:rPr>
        <w:t>Nacl</w:t>
      </w:r>
      <w:proofErr w:type="spellEnd"/>
      <w:r w:rsidR="00776C59" w:rsidRPr="00B0064A">
        <w:rPr>
          <w:rFonts w:ascii="Arial" w:hAnsi="Arial" w:cs="Arial"/>
          <w:color w:val="000000"/>
          <w:sz w:val="24"/>
          <w:szCs w:val="24"/>
        </w:rPr>
        <w:t xml:space="preserve">, and 0.5% Tween 20] and probed with antibodies against Bcl-2 (1:1000), cleaved caspase 3 (1:500), survivin (1:1000), cyclin D1(1:1000), </w:t>
      </w:r>
      <w:r w:rsidR="00776C59" w:rsidRPr="00B0064A">
        <w:rPr>
          <w:rFonts w:ascii="Arial" w:hAnsi="Arial" w:cs="Arial"/>
          <w:sz w:val="24"/>
          <w:szCs w:val="24"/>
        </w:rPr>
        <w:t>p53</w:t>
      </w:r>
      <w:r w:rsidR="00776C59" w:rsidRPr="00B0064A">
        <w:rPr>
          <w:rFonts w:ascii="Arial" w:hAnsi="Arial" w:cs="Arial"/>
          <w:color w:val="000000"/>
          <w:sz w:val="24"/>
          <w:szCs w:val="24"/>
        </w:rPr>
        <w:t xml:space="preserve"> (1:1000), MMP-9 (1:1000), HIF-1α (1:1000) and β-actin (1:1000). Horseradish </w:t>
      </w:r>
      <w:proofErr w:type="spellStart"/>
      <w:r w:rsidR="00776C59" w:rsidRPr="00B0064A">
        <w:rPr>
          <w:rFonts w:ascii="Arial" w:hAnsi="Arial" w:cs="Arial"/>
          <w:color w:val="000000"/>
          <w:sz w:val="24"/>
          <w:szCs w:val="24"/>
        </w:rPr>
        <w:t>peroxidase</w:t>
      </w:r>
      <w:proofErr w:type="spellEnd"/>
      <w:r w:rsidR="00776C59" w:rsidRPr="00B0064A">
        <w:rPr>
          <w:rFonts w:ascii="Arial" w:hAnsi="Arial" w:cs="Arial"/>
          <w:color w:val="000000"/>
          <w:sz w:val="24"/>
          <w:szCs w:val="24"/>
        </w:rPr>
        <w:t xml:space="preserve">-conjugated secondary antibodies (Santa Cruz Biotechnology, Santa Cruz, CA) were used. Proteins were visualized using enhanced chemiluminescent solution (Pierce, Rockford, IL) and exposed to Kodak X-OMAT AR autoradiography film (Eastman Kodak, Rochester, NY). </w:t>
      </w:r>
    </w:p>
    <w:p w:rsidR="00776C59" w:rsidRPr="00B0064A" w:rsidRDefault="00B02694" w:rsidP="00B0064A">
      <w:pPr>
        <w:spacing w:line="480" w:lineRule="auto"/>
        <w:jc w:val="both"/>
        <w:rPr>
          <w:rFonts w:ascii="Arial" w:hAnsi="Arial" w:cs="Arial"/>
          <w:color w:val="000000"/>
          <w:sz w:val="24"/>
          <w:szCs w:val="24"/>
        </w:rPr>
      </w:pPr>
      <w:r>
        <w:rPr>
          <w:rFonts w:ascii="Arial" w:hAnsi="Arial" w:cs="Arial"/>
          <w:b/>
          <w:i/>
          <w:color w:val="000000"/>
          <w:sz w:val="24"/>
          <w:szCs w:val="24"/>
        </w:rPr>
        <w:t xml:space="preserve">C) </w:t>
      </w:r>
      <w:r w:rsidR="00776C59" w:rsidRPr="00B0064A">
        <w:rPr>
          <w:rFonts w:ascii="Arial" w:hAnsi="Arial" w:cs="Arial"/>
          <w:b/>
          <w:i/>
          <w:color w:val="000000"/>
          <w:sz w:val="24"/>
          <w:szCs w:val="24"/>
        </w:rPr>
        <w:t xml:space="preserve">IHC for cleaved caspase 3 and CD31: </w:t>
      </w:r>
      <w:r w:rsidR="00776C59" w:rsidRPr="00B0064A">
        <w:rPr>
          <w:rFonts w:ascii="Arial" w:hAnsi="Arial" w:cs="Arial"/>
          <w:color w:val="000000"/>
          <w:sz w:val="24"/>
          <w:szCs w:val="24"/>
        </w:rPr>
        <w:t xml:space="preserve">Formalin fixed tumors were processed for automatic histopathological procedures. The detailed procedure was provided in </w:t>
      </w:r>
      <w:proofErr w:type="spellStart"/>
      <w:r w:rsidR="00776C59" w:rsidRPr="00B0064A">
        <w:rPr>
          <w:rFonts w:ascii="Arial" w:hAnsi="Arial" w:cs="Arial"/>
          <w:color w:val="000000"/>
          <w:sz w:val="24"/>
          <w:szCs w:val="24"/>
        </w:rPr>
        <w:t>supplmmentary</w:t>
      </w:r>
      <w:proofErr w:type="spellEnd"/>
      <w:r w:rsidR="00776C59" w:rsidRPr="00B0064A">
        <w:rPr>
          <w:rFonts w:ascii="Arial" w:hAnsi="Arial" w:cs="Arial"/>
          <w:color w:val="000000"/>
          <w:sz w:val="24"/>
          <w:szCs w:val="24"/>
        </w:rPr>
        <w:t xml:space="preserve"> data (Supple). Tissue sections</w:t>
      </w:r>
      <w:r w:rsidR="00776C59" w:rsidRPr="00B0064A">
        <w:rPr>
          <w:rFonts w:ascii="Arial" w:hAnsi="Arial" w:cs="Arial"/>
          <w:sz w:val="24"/>
          <w:szCs w:val="24"/>
        </w:rPr>
        <w:t xml:space="preserve"> were dehydrated by immersing in increasing concentrations of alcohol and embedded in paraffin. Paraffin embedded specimens were cut into thin sections (4-5 µm). Tissue sections (4–5 </w:t>
      </w:r>
      <w:proofErr w:type="spellStart"/>
      <w:r w:rsidR="00776C59" w:rsidRPr="00B0064A">
        <w:rPr>
          <w:rFonts w:ascii="Arial" w:hAnsi="Arial" w:cs="Arial"/>
          <w:sz w:val="24"/>
          <w:szCs w:val="24"/>
        </w:rPr>
        <w:t>μm</w:t>
      </w:r>
      <w:proofErr w:type="spellEnd"/>
      <w:r w:rsidR="00776C59" w:rsidRPr="00B0064A">
        <w:rPr>
          <w:rFonts w:ascii="Arial" w:hAnsi="Arial" w:cs="Arial"/>
          <w:sz w:val="24"/>
          <w:szCs w:val="24"/>
        </w:rPr>
        <w:t xml:space="preserve"> thick) were mounted on p</w:t>
      </w:r>
      <w:r w:rsidR="00776C59" w:rsidRPr="00B0064A">
        <w:rPr>
          <w:rFonts w:ascii="Arial" w:hAnsi="Arial" w:cs="Arial"/>
          <w:color w:val="000000"/>
          <w:sz w:val="24"/>
          <w:szCs w:val="24"/>
        </w:rPr>
        <w:t xml:space="preserve">oly-L-lysine–coated slides and sections were </w:t>
      </w:r>
      <w:proofErr w:type="spellStart"/>
      <w:r w:rsidR="00776C59" w:rsidRPr="00B0064A">
        <w:rPr>
          <w:rFonts w:ascii="Arial" w:hAnsi="Arial" w:cs="Arial"/>
          <w:color w:val="000000"/>
          <w:sz w:val="24"/>
          <w:szCs w:val="24"/>
        </w:rPr>
        <w:t>deparaffinized</w:t>
      </w:r>
      <w:proofErr w:type="spellEnd"/>
      <w:r w:rsidR="00776C59" w:rsidRPr="00B0064A">
        <w:rPr>
          <w:rFonts w:ascii="Arial" w:hAnsi="Arial" w:cs="Arial"/>
          <w:color w:val="000000"/>
          <w:sz w:val="24"/>
          <w:szCs w:val="24"/>
        </w:rPr>
        <w:t xml:space="preserve"> with </w:t>
      </w:r>
      <w:proofErr w:type="spellStart"/>
      <w:r w:rsidR="00776C59" w:rsidRPr="00B0064A">
        <w:rPr>
          <w:rFonts w:ascii="Arial" w:hAnsi="Arial" w:cs="Arial"/>
          <w:color w:val="000000"/>
          <w:sz w:val="24"/>
          <w:szCs w:val="24"/>
        </w:rPr>
        <w:t>xylene</w:t>
      </w:r>
      <w:proofErr w:type="spellEnd"/>
      <w:r w:rsidR="00776C59" w:rsidRPr="00B0064A">
        <w:rPr>
          <w:rFonts w:ascii="Arial" w:hAnsi="Arial" w:cs="Arial"/>
          <w:color w:val="000000"/>
          <w:sz w:val="24"/>
          <w:szCs w:val="24"/>
        </w:rPr>
        <w:t xml:space="preserve"> and rehydration </w:t>
      </w:r>
      <w:r w:rsidR="00776C59" w:rsidRPr="00B0064A">
        <w:rPr>
          <w:rFonts w:ascii="Arial" w:hAnsi="Arial" w:cs="Arial"/>
          <w:sz w:val="24"/>
          <w:szCs w:val="24"/>
        </w:rPr>
        <w:t xml:space="preserve">through graded concentrations of alcohol, then incubated with 3% hydrogen </w:t>
      </w:r>
      <w:proofErr w:type="spellStart"/>
      <w:r w:rsidR="00776C59" w:rsidRPr="00B0064A">
        <w:rPr>
          <w:rFonts w:ascii="Arial" w:hAnsi="Arial" w:cs="Arial"/>
          <w:sz w:val="24"/>
          <w:szCs w:val="24"/>
        </w:rPr>
        <w:t>peroxidase</w:t>
      </w:r>
      <w:proofErr w:type="spellEnd"/>
      <w:r w:rsidR="00776C59" w:rsidRPr="00B0064A">
        <w:rPr>
          <w:rFonts w:ascii="Arial" w:hAnsi="Arial" w:cs="Arial"/>
          <w:sz w:val="24"/>
          <w:szCs w:val="24"/>
        </w:rPr>
        <w:t xml:space="preserve"> for 20 min to block endogenous </w:t>
      </w:r>
      <w:proofErr w:type="spellStart"/>
      <w:r w:rsidR="00776C59" w:rsidRPr="00B0064A">
        <w:rPr>
          <w:rFonts w:ascii="Arial" w:hAnsi="Arial" w:cs="Arial"/>
          <w:sz w:val="24"/>
          <w:szCs w:val="24"/>
        </w:rPr>
        <w:t>peroxidase</w:t>
      </w:r>
      <w:proofErr w:type="spellEnd"/>
      <w:r w:rsidR="00776C59" w:rsidRPr="00B0064A">
        <w:rPr>
          <w:rFonts w:ascii="Arial" w:hAnsi="Arial" w:cs="Arial"/>
          <w:sz w:val="24"/>
          <w:szCs w:val="24"/>
        </w:rPr>
        <w:t xml:space="preserve"> activity. Antigen retrieval for</w:t>
      </w:r>
      <w:r w:rsidR="00776C59" w:rsidRPr="00B0064A">
        <w:rPr>
          <w:rFonts w:ascii="Arial" w:hAnsi="Arial" w:cs="Arial"/>
          <w:color w:val="000000"/>
          <w:sz w:val="24"/>
          <w:szCs w:val="24"/>
        </w:rPr>
        <w:t xml:space="preserve"> cleaved caspase 3 and CD31 </w:t>
      </w:r>
      <w:r w:rsidR="00776C59" w:rsidRPr="00B0064A">
        <w:rPr>
          <w:rFonts w:ascii="Arial" w:hAnsi="Arial" w:cs="Arial"/>
          <w:sz w:val="24"/>
          <w:szCs w:val="24"/>
        </w:rPr>
        <w:t xml:space="preserve">staining was carried out for 10 min in 0.01 M sodium citrate buffer (pH 6), heated at 95°C in a steam bath followed by cooling for 30 min. Endogenous </w:t>
      </w:r>
      <w:proofErr w:type="spellStart"/>
      <w:r w:rsidR="00776C59" w:rsidRPr="00B0064A">
        <w:rPr>
          <w:rFonts w:ascii="Arial" w:hAnsi="Arial" w:cs="Arial"/>
          <w:sz w:val="24"/>
          <w:szCs w:val="24"/>
        </w:rPr>
        <w:t>peroxidase</w:t>
      </w:r>
      <w:proofErr w:type="spellEnd"/>
      <w:r w:rsidR="00776C59" w:rsidRPr="00B0064A">
        <w:rPr>
          <w:rFonts w:ascii="Arial" w:hAnsi="Arial" w:cs="Arial"/>
          <w:sz w:val="24"/>
          <w:szCs w:val="24"/>
        </w:rPr>
        <w:t xml:space="preserve"> was blocked by 3% hydrogen peroxide in PBS for 10 min. The slides were washed with PBS and incubated for 1h at room temperature with a protein blocking solution. Excess blocking solution was drained, and the samples were </w:t>
      </w:r>
      <w:r w:rsidR="00776C59" w:rsidRPr="00B0064A">
        <w:rPr>
          <w:rFonts w:ascii="Arial" w:hAnsi="Arial" w:cs="Arial"/>
          <w:sz w:val="24"/>
          <w:szCs w:val="24"/>
        </w:rPr>
        <w:lastRenderedPageBreak/>
        <w:t xml:space="preserve">incubated overnight at 4°C with </w:t>
      </w:r>
      <w:r w:rsidR="00776C59" w:rsidRPr="00B0064A">
        <w:rPr>
          <w:rFonts w:ascii="Arial" w:hAnsi="Arial" w:cs="Arial"/>
          <w:color w:val="000000"/>
          <w:sz w:val="24"/>
          <w:szCs w:val="24"/>
        </w:rPr>
        <w:t>cleaved caspase 3 and CD31 antibodies</w:t>
      </w:r>
      <w:r w:rsidR="00776C59" w:rsidRPr="00B0064A">
        <w:rPr>
          <w:rFonts w:ascii="Arial" w:hAnsi="Arial" w:cs="Arial"/>
          <w:sz w:val="24"/>
          <w:szCs w:val="24"/>
        </w:rPr>
        <w:t xml:space="preserve"> or incubated with </w:t>
      </w:r>
      <w:proofErr w:type="spellStart"/>
      <w:r w:rsidR="00776C59" w:rsidRPr="00B0064A">
        <w:rPr>
          <w:rFonts w:ascii="Arial" w:hAnsi="Arial" w:cs="Arial"/>
          <w:sz w:val="24"/>
          <w:szCs w:val="24"/>
        </w:rPr>
        <w:t>biotinylated</w:t>
      </w:r>
      <w:proofErr w:type="spellEnd"/>
      <w:r w:rsidR="00776C59" w:rsidRPr="00B0064A">
        <w:rPr>
          <w:rFonts w:ascii="Arial" w:hAnsi="Arial" w:cs="Arial"/>
          <w:sz w:val="24"/>
          <w:szCs w:val="24"/>
        </w:rPr>
        <w:t xml:space="preserve"> secondary antibody followed by </w:t>
      </w:r>
      <w:proofErr w:type="spellStart"/>
      <w:r w:rsidR="00776C59" w:rsidRPr="00B0064A">
        <w:rPr>
          <w:rFonts w:ascii="Arial" w:hAnsi="Arial" w:cs="Arial"/>
          <w:sz w:val="24"/>
          <w:szCs w:val="24"/>
        </w:rPr>
        <w:t>streptavidin</w:t>
      </w:r>
      <w:proofErr w:type="spellEnd"/>
      <w:r w:rsidR="00776C59" w:rsidRPr="00B0064A">
        <w:rPr>
          <w:rFonts w:ascii="Arial" w:hAnsi="Arial" w:cs="Arial"/>
          <w:sz w:val="24"/>
          <w:szCs w:val="24"/>
        </w:rPr>
        <w:t xml:space="preserve">. The color was developed by exposing the </w:t>
      </w:r>
      <w:proofErr w:type="spellStart"/>
      <w:r w:rsidR="00776C59" w:rsidRPr="00B0064A">
        <w:rPr>
          <w:rFonts w:ascii="Arial" w:hAnsi="Arial" w:cs="Arial"/>
          <w:sz w:val="24"/>
          <w:szCs w:val="24"/>
        </w:rPr>
        <w:t>peroxidase</w:t>
      </w:r>
      <w:proofErr w:type="spellEnd"/>
      <w:r w:rsidR="00776C59" w:rsidRPr="00B0064A">
        <w:rPr>
          <w:rFonts w:ascii="Arial" w:hAnsi="Arial" w:cs="Arial"/>
          <w:sz w:val="24"/>
          <w:szCs w:val="24"/>
        </w:rPr>
        <w:t xml:space="preserve"> to a substrate-</w:t>
      </w:r>
      <w:proofErr w:type="spellStart"/>
      <w:r w:rsidR="00776C59" w:rsidRPr="00B0064A">
        <w:rPr>
          <w:rFonts w:ascii="Arial" w:hAnsi="Arial" w:cs="Arial"/>
          <w:sz w:val="24"/>
          <w:szCs w:val="24"/>
        </w:rPr>
        <w:t>chromagen</w:t>
      </w:r>
      <w:proofErr w:type="spellEnd"/>
      <w:r w:rsidR="00776C59" w:rsidRPr="00B0064A">
        <w:rPr>
          <w:rFonts w:ascii="Arial" w:hAnsi="Arial" w:cs="Arial"/>
          <w:sz w:val="24"/>
          <w:szCs w:val="24"/>
        </w:rPr>
        <w:t xml:space="preserve">, which forms a brown reaction product. The sections were then counterstained with </w:t>
      </w:r>
      <w:proofErr w:type="spellStart"/>
      <w:r w:rsidR="00776C59" w:rsidRPr="00B0064A">
        <w:rPr>
          <w:rFonts w:ascii="Arial" w:hAnsi="Arial" w:cs="Arial"/>
          <w:sz w:val="24"/>
          <w:szCs w:val="24"/>
        </w:rPr>
        <w:t>hematoxylin</w:t>
      </w:r>
      <w:proofErr w:type="spellEnd"/>
      <w:r w:rsidR="00776C59" w:rsidRPr="00B0064A">
        <w:rPr>
          <w:rFonts w:ascii="Arial" w:hAnsi="Arial" w:cs="Arial"/>
          <w:sz w:val="24"/>
          <w:szCs w:val="24"/>
        </w:rPr>
        <w:t xml:space="preserve">. </w:t>
      </w:r>
      <w:r w:rsidR="00776C59" w:rsidRPr="00B0064A">
        <w:rPr>
          <w:rFonts w:ascii="Arial" w:hAnsi="Arial" w:cs="Arial"/>
          <w:color w:val="000000"/>
          <w:sz w:val="24"/>
          <w:szCs w:val="24"/>
        </w:rPr>
        <w:t>Cleaved caspase 3 and CD31</w:t>
      </w:r>
      <w:r w:rsidR="00776C59" w:rsidRPr="00B0064A">
        <w:rPr>
          <w:rFonts w:ascii="Arial" w:hAnsi="Arial" w:cs="Arial"/>
          <w:sz w:val="24"/>
          <w:szCs w:val="24"/>
        </w:rPr>
        <w:t xml:space="preserve"> expression was identified by the brown cytoplasmic staining. </w:t>
      </w:r>
      <w:r w:rsidR="00776C59" w:rsidRPr="00B0064A">
        <w:rPr>
          <w:rFonts w:ascii="Arial" w:hAnsi="Arial" w:cs="Arial"/>
          <w:color w:val="000000"/>
          <w:sz w:val="24"/>
          <w:szCs w:val="24"/>
        </w:rPr>
        <w:t xml:space="preserve">Numbers of positive cells per filed was quantified by counting 10 different fields from each section. Based on the CD31 positive cells, microvessel density (MVD) was calculated </w:t>
      </w:r>
      <w:r w:rsidR="00F36BDE" w:rsidRPr="00B0064A">
        <w:rPr>
          <w:rFonts w:ascii="Arial" w:hAnsi="Arial" w:cs="Arial"/>
          <w:color w:val="000000"/>
          <w:sz w:val="24"/>
          <w:szCs w:val="24"/>
        </w:rPr>
        <w:fldChar w:fldCharType="begin"/>
      </w:r>
      <w:r w:rsidR="00776C59" w:rsidRPr="00B0064A">
        <w:rPr>
          <w:rFonts w:ascii="Arial" w:hAnsi="Arial" w:cs="Arial"/>
          <w:color w:val="000000"/>
          <w:sz w:val="24"/>
          <w:szCs w:val="24"/>
        </w:rPr>
        <w:instrText xml:space="preserve"> ADDIN EN.CITE &lt;EndNote&gt;&lt;Cite&gt;&lt;Author&gt;Godugu&lt;/Author&gt;&lt;Year&gt;2013&lt;/Year&gt;&lt;RecNum&gt;77&lt;/RecNum&gt;&lt;DisplayText&gt;(30)&lt;/DisplayText&gt;&lt;record&gt;&lt;rec-number&gt;77&lt;/rec-number&gt;&lt;foreign-keys&gt;&lt;key app="EN" db-id="asxrzrwpb5wp2jeaxd8xtdzgzwex5twwd2xr" timestamp="1380935451"&gt;77&lt;/key&gt;&lt;/foreign-keys&gt;&lt;ref-type name="Journal Article"&gt;17&lt;/ref-type&gt;&lt;contributors&gt;&lt;authors&gt;&lt;author&gt;Godugu, C.&lt;/author&gt;&lt;author&gt;Patel, A. R.&lt;/author&gt;&lt;author&gt;Doddapaneni, R.&lt;/author&gt;&lt;author&gt;Marepally, S.&lt;/author&gt;&lt;author&gt;Jackson, T.&lt;/author&gt;&lt;author&gt;Singh, M.&lt;/author&gt;&lt;/authors&gt;&lt;/contributors&gt;&lt;auth-address&gt;Department of Pharmaceutics, College of Pharmacy and Pharmaceutical Sciences, Florida A &amp;amp; M University, Tallahassee, 32307, USA.&lt;/auth-address&gt;&lt;titles&gt;&lt;title&gt;Inhalation delivery of Telmisartan enhances intratumoral distribution of nanoparticles in lung cancer models&lt;/title&gt;&lt;secondary-title&gt;J Control Release&lt;/secondary-title&gt;&lt;alt-title&gt;Journal of controlled release : official journal of the Controlled Release Society&lt;/alt-title&gt;&lt;/titles&gt;&lt;periodical&gt;&lt;full-title&gt;J Control Release&lt;/full-title&gt;&lt;abbr-1&gt;Journal of controlled release : official journal of the Controlled Release Society&lt;/abbr-1&gt;&lt;/periodical&gt;&lt;alt-periodical&gt;&lt;full-title&gt;J Control Release&lt;/full-title&gt;&lt;abbr-1&gt;Journal of controlled release : official journal of the Controlled Release Society&lt;/abbr-1&gt;&lt;/alt-periodical&gt;&lt;pages&gt;86-95&lt;/pages&gt;&lt;volume&gt;172&lt;/volume&gt;&lt;number&gt;1&lt;/number&gt;&lt;dates&gt;&lt;year&gt;2013&lt;/year&gt;&lt;pub-dates&gt;&lt;date&gt;Jul 7&lt;/date&gt;&lt;/pub-dates&gt;&lt;/dates&gt;&lt;isbn&gt;1873-4995 (Electronic)&amp;#xD;0168-3659 (Linking)&lt;/isbn&gt;&lt;accession-num&gt;23838154&lt;/accession-num&gt;&lt;urls&gt;&lt;related-urls&gt;&lt;url&gt;http://www.ncbi.nlm.nih.gov/pubmed/23838154&lt;/url&gt;&lt;/related-urls&gt;&lt;/urls&gt;&lt;electronic-resource-num&gt;10.1016/j.jconrel.2013.06.036&lt;/electronic-resource-num&gt;&lt;/record&gt;&lt;/Cite&gt;&lt;/EndNote&gt;</w:instrText>
      </w:r>
      <w:r w:rsidR="00F36BDE" w:rsidRPr="00B0064A">
        <w:rPr>
          <w:rFonts w:ascii="Arial" w:hAnsi="Arial" w:cs="Arial"/>
          <w:color w:val="000000"/>
          <w:sz w:val="24"/>
          <w:szCs w:val="24"/>
        </w:rPr>
        <w:fldChar w:fldCharType="separate"/>
      </w:r>
      <w:r w:rsidR="00776C59" w:rsidRPr="00B0064A">
        <w:rPr>
          <w:rFonts w:ascii="Arial" w:hAnsi="Arial" w:cs="Arial"/>
          <w:noProof/>
          <w:color w:val="000000"/>
          <w:sz w:val="24"/>
          <w:szCs w:val="24"/>
        </w:rPr>
        <w:t>(</w:t>
      </w:r>
      <w:hyperlink w:anchor="_ENREF_30" w:tooltip="Godugu, 2013 #77" w:history="1">
        <w:r w:rsidR="00776C59" w:rsidRPr="00B0064A">
          <w:rPr>
            <w:rFonts w:ascii="Arial" w:hAnsi="Arial" w:cs="Arial"/>
            <w:noProof/>
            <w:color w:val="000000"/>
            <w:sz w:val="24"/>
            <w:szCs w:val="24"/>
          </w:rPr>
          <w:t>30</w:t>
        </w:r>
      </w:hyperlink>
      <w:r w:rsidR="00776C59" w:rsidRPr="00B0064A">
        <w:rPr>
          <w:rFonts w:ascii="Arial" w:hAnsi="Arial" w:cs="Arial"/>
          <w:noProof/>
          <w:color w:val="000000"/>
          <w:sz w:val="24"/>
          <w:szCs w:val="24"/>
        </w:rPr>
        <w:t>)</w:t>
      </w:r>
      <w:r w:rsidR="00F36BDE" w:rsidRPr="00B0064A">
        <w:rPr>
          <w:rFonts w:ascii="Arial" w:hAnsi="Arial" w:cs="Arial"/>
          <w:color w:val="000000"/>
          <w:sz w:val="24"/>
          <w:szCs w:val="24"/>
        </w:rPr>
        <w:fldChar w:fldCharType="end"/>
      </w:r>
      <w:r w:rsidR="00776C59" w:rsidRPr="00B0064A">
        <w:rPr>
          <w:rFonts w:ascii="Arial" w:hAnsi="Arial" w:cs="Arial"/>
          <w:color w:val="000000"/>
          <w:sz w:val="24"/>
          <w:szCs w:val="24"/>
        </w:rPr>
        <w:t>.</w:t>
      </w:r>
    </w:p>
    <w:p w:rsidR="00E75E4D" w:rsidRPr="00B0064A" w:rsidRDefault="00E75E4D" w:rsidP="00B0064A">
      <w:pPr>
        <w:tabs>
          <w:tab w:val="left" w:pos="2610"/>
        </w:tabs>
        <w:spacing w:line="480" w:lineRule="auto"/>
        <w:jc w:val="both"/>
        <w:rPr>
          <w:rFonts w:ascii="Arial" w:hAnsi="Arial" w:cs="Arial"/>
          <w:b/>
          <w:color w:val="000000" w:themeColor="text1"/>
          <w:sz w:val="24"/>
          <w:szCs w:val="24"/>
        </w:rPr>
      </w:pPr>
    </w:p>
    <w:sectPr w:rsidR="00E75E4D" w:rsidRPr="00B0064A" w:rsidSect="00B52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4EF8"/>
    <w:multiLevelType w:val="multilevel"/>
    <w:tmpl w:val="D9F664AE"/>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776C59"/>
    <w:rsid w:val="001E40C3"/>
    <w:rsid w:val="00492EE6"/>
    <w:rsid w:val="00651610"/>
    <w:rsid w:val="00776C59"/>
    <w:rsid w:val="0079248D"/>
    <w:rsid w:val="00804AFD"/>
    <w:rsid w:val="00B0064A"/>
    <w:rsid w:val="00B02694"/>
    <w:rsid w:val="00B525BE"/>
    <w:rsid w:val="00C32639"/>
    <w:rsid w:val="00C508AA"/>
    <w:rsid w:val="00D510D5"/>
    <w:rsid w:val="00DA4EDA"/>
    <w:rsid w:val="00DA6B70"/>
    <w:rsid w:val="00E75E4D"/>
    <w:rsid w:val="00F36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Chandu</dc:creator>
  <cp:lastModifiedBy>Owner</cp:lastModifiedBy>
  <cp:revision>4</cp:revision>
  <dcterms:created xsi:type="dcterms:W3CDTF">2014-01-24T11:31:00Z</dcterms:created>
  <dcterms:modified xsi:type="dcterms:W3CDTF">2014-02-14T18:57:00Z</dcterms:modified>
</cp:coreProperties>
</file>