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2A" w:rsidRDefault="0047781E" w:rsidP="00672002">
      <w:pPr>
        <w:jc w:val="left"/>
        <w:rPr>
          <w:b/>
          <w:szCs w:val="24"/>
        </w:rPr>
      </w:pPr>
      <w:proofErr w:type="gramStart"/>
      <w:r>
        <w:rPr>
          <w:b/>
          <w:szCs w:val="24"/>
        </w:rPr>
        <w:t xml:space="preserve">Discussion of </w:t>
      </w:r>
      <w:r w:rsidR="0097641A">
        <w:rPr>
          <w:b/>
          <w:szCs w:val="24"/>
        </w:rPr>
        <w:t>an alternative explanation</w:t>
      </w:r>
      <w:r>
        <w:rPr>
          <w:b/>
          <w:szCs w:val="24"/>
        </w:rPr>
        <w:t xml:space="preserve"> of the </w:t>
      </w:r>
      <w:r w:rsidR="0097641A">
        <w:rPr>
          <w:b/>
          <w:szCs w:val="24"/>
        </w:rPr>
        <w:t xml:space="preserve">large </w:t>
      </w:r>
      <w:r w:rsidRPr="0097641A">
        <w:rPr>
          <w:rFonts w:ascii="Symbol" w:hAnsi="Symbol"/>
          <w:b/>
          <w:szCs w:val="24"/>
        </w:rPr>
        <w:t></w:t>
      </w:r>
      <w:r>
        <w:rPr>
          <w:b/>
          <w:szCs w:val="24"/>
        </w:rPr>
        <w:t xml:space="preserve"> value and small SIE.</w:t>
      </w:r>
      <w:proofErr w:type="gramEnd"/>
    </w:p>
    <w:p w:rsidR="0097641A" w:rsidRDefault="0097641A" w:rsidP="0097641A">
      <w:pPr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The following data is from </w:t>
      </w:r>
      <w:r>
        <w:rPr>
          <w:rStyle w:val="Emphasis"/>
          <w:i w:val="0"/>
        </w:rPr>
        <w:fldChar w:fldCharType="begin"/>
      </w:r>
      <w:r>
        <w:rPr>
          <w:rStyle w:val="Emphasis"/>
          <w:i w:val="0"/>
        </w:rPr>
        <w:instrText xml:space="preserve"> ADDIN EN.CITE &lt;EndNote&gt;&lt;Cite&gt;&lt;Author&gt;Relyea&lt;/Author&gt;&lt;Year&gt;2005&lt;/Year&gt;&lt;RecNum&gt;5134&lt;/RecNum&gt;&lt;DisplayText&gt;(&lt;style face="italic"&gt;1&lt;/style&gt;)&lt;/DisplayText&gt;&lt;record&gt;&lt;rec-number&gt;5134&lt;/rec-number&gt;&lt;foreign-keys&gt;&lt;key app="EN" db-id="xxzsfa0wbpdzxoeaffpv0ex0darrdz2pafe5"&gt;5134&lt;/key&gt;&lt;/foreign-keys&gt;&lt;ref-type name="Journal Article"&gt;17&lt;/ref-type&gt;&lt;contributors&gt;&lt;authors&gt;&lt;author&gt;Relyea, H. A.&lt;/author&gt;&lt;author&gt;Vrtis, J.M.&lt;/author&gt;&lt;author&gt;Woodyer, R.&lt;/author&gt;&lt;author&gt;Rimkus, S.A.&lt;/author&gt;&lt;author&gt;van der Donk, W.A.&lt;/author&gt;&lt;/authors&gt;&lt;/contributors&gt;&lt;titles&gt;&lt;title&gt;Inhibition and pH dependence of phosphite dehydrogenase&lt;/title&gt;&lt;secondary-title&gt;Biochemistry&lt;/secondary-title&gt;&lt;/titles&gt;&lt;periodical&gt;&lt;full-title&gt;Biochemistry&lt;/full-title&gt;&lt;/periodical&gt;&lt;pages&gt;6640-6649&lt;/pages&gt;&lt;volume&gt;44&lt;/volume&gt;&lt;dates&gt;&lt;year&gt;2005&lt;/year&gt;&lt;/dates&gt;&lt;urls&gt;&lt;/urls&gt;&lt;/record&gt;&lt;/Cite&gt;&lt;/EndNote&gt;</w:instrText>
      </w:r>
      <w:r>
        <w:rPr>
          <w:rStyle w:val="Emphasis"/>
          <w:i w:val="0"/>
        </w:rPr>
        <w:fldChar w:fldCharType="separate"/>
      </w:r>
      <w:r>
        <w:rPr>
          <w:rStyle w:val="Emphasis"/>
          <w:i w:val="0"/>
          <w:noProof/>
        </w:rPr>
        <w:t>(</w:t>
      </w:r>
      <w:hyperlink w:anchor="_ENREF_1" w:tooltip="Relyea, 2005 #5134" w:history="1">
        <w:r w:rsidRPr="00435B3E">
          <w:rPr>
            <w:rStyle w:val="Emphasis"/>
            <w:noProof/>
          </w:rPr>
          <w:t>1</w:t>
        </w:r>
      </w:hyperlink>
      <w:r>
        <w:rPr>
          <w:rStyle w:val="Emphasis"/>
          <w:i w:val="0"/>
          <w:noProof/>
        </w:rPr>
        <w:t>)</w:t>
      </w:r>
      <w:r>
        <w:rPr>
          <w:rStyle w:val="Emphasis"/>
          <w:i w:val="0"/>
        </w:rPr>
        <w:fldChar w:fldCharType="end"/>
      </w:r>
      <w:r>
        <w:rPr>
          <w:rStyle w:val="Emphasis"/>
          <w:i w:val="0"/>
        </w:rPr>
        <w:t>:</w:t>
      </w:r>
    </w:p>
    <w:p w:rsidR="0097641A" w:rsidRDefault="00435B3E" w:rsidP="0097641A">
      <w:pPr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>The</w:t>
      </w:r>
      <w:r w:rsidR="0097641A">
        <w:rPr>
          <w:rStyle w:val="Emphasis"/>
          <w:i w:val="0"/>
        </w:rPr>
        <w:t xml:space="preserve"> SIE</w:t>
      </w:r>
      <w:r>
        <w:rPr>
          <w:rStyle w:val="Emphasis"/>
          <w:i w:val="0"/>
        </w:rPr>
        <w:t xml:space="preserve"> on </w:t>
      </w:r>
      <w:proofErr w:type="spellStart"/>
      <w:r>
        <w:rPr>
          <w:rStyle w:val="Emphasis"/>
        </w:rPr>
        <w:t>k</w:t>
      </w:r>
      <w:r w:rsidR="0097641A">
        <w:rPr>
          <w:rStyle w:val="Emphasis"/>
          <w:i w:val="0"/>
          <w:vertAlign w:val="subscript"/>
        </w:rPr>
        <w:t>cat</w:t>
      </w:r>
      <w:proofErr w:type="spellEnd"/>
      <w:r>
        <w:rPr>
          <w:rStyle w:val="Emphasis"/>
        </w:rPr>
        <w:t xml:space="preserve"> </w:t>
      </w:r>
      <w:r w:rsidR="0097641A">
        <w:rPr>
          <w:rStyle w:val="Emphasis"/>
          <w:i w:val="0"/>
        </w:rPr>
        <w:t xml:space="preserve">for the </w:t>
      </w:r>
      <w:proofErr w:type="spellStart"/>
      <w:r w:rsidR="0097641A">
        <w:rPr>
          <w:rStyle w:val="Emphasis"/>
          <w:i w:val="0"/>
        </w:rPr>
        <w:t>wt</w:t>
      </w:r>
      <w:proofErr w:type="spellEnd"/>
      <w:r w:rsidR="0097641A">
        <w:rPr>
          <w:rStyle w:val="Emphasis"/>
          <w:i w:val="0"/>
        </w:rPr>
        <w:t xml:space="preserve"> enzyme is</w:t>
      </w:r>
      <w:r>
        <w:rPr>
          <w:rStyle w:val="Emphasis"/>
          <w:i w:val="0"/>
        </w:rPr>
        <w:t xml:space="preserve"> </w:t>
      </w:r>
      <w:r w:rsidR="0097641A">
        <w:rPr>
          <w:rStyle w:val="Emphasis"/>
          <w:i w:val="0"/>
        </w:rPr>
        <w:t>1.55 at pH 7.25.</w:t>
      </w:r>
    </w:p>
    <w:p w:rsidR="0097641A" w:rsidRDefault="0097641A" w:rsidP="0097641A">
      <w:pPr>
        <w:spacing w:after="0"/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The substrate KIE on </w:t>
      </w:r>
      <w:proofErr w:type="spellStart"/>
      <w:r>
        <w:rPr>
          <w:rStyle w:val="Emphasis"/>
        </w:rPr>
        <w:t>k</w:t>
      </w:r>
      <w:r>
        <w:rPr>
          <w:rStyle w:val="Emphasis"/>
          <w:i w:val="0"/>
          <w:vertAlign w:val="subscript"/>
        </w:rPr>
        <w:t>cat</w:t>
      </w:r>
      <w:proofErr w:type="spellEnd"/>
      <w:r>
        <w:rPr>
          <w:rStyle w:val="Emphasis"/>
          <w:i w:val="0"/>
        </w:rPr>
        <w:t xml:space="preserve"> for the </w:t>
      </w:r>
      <w:proofErr w:type="spellStart"/>
      <w:r>
        <w:rPr>
          <w:rStyle w:val="Emphasis"/>
          <w:i w:val="0"/>
        </w:rPr>
        <w:t>wt</w:t>
      </w:r>
      <w:proofErr w:type="spellEnd"/>
      <w:r>
        <w:rPr>
          <w:rStyle w:val="Emphasis"/>
          <w:i w:val="0"/>
        </w:rPr>
        <w:t xml:space="preserve"> enzyme is 2.1 at pH 7.25.</w:t>
      </w:r>
    </w:p>
    <w:p w:rsidR="0097641A" w:rsidRDefault="0097641A" w:rsidP="00672002">
      <w:pPr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A multiplicative combined SIE and substrate KIE would have been 3.25, but the observed combined SIE and substrate KIE on </w:t>
      </w:r>
      <w:proofErr w:type="spellStart"/>
      <w:r>
        <w:rPr>
          <w:rStyle w:val="Emphasis"/>
        </w:rPr>
        <w:t>k</w:t>
      </w:r>
      <w:r>
        <w:rPr>
          <w:rStyle w:val="Emphasis"/>
          <w:i w:val="0"/>
          <w:vertAlign w:val="subscript"/>
        </w:rPr>
        <w:t>cat</w:t>
      </w:r>
      <w:proofErr w:type="spellEnd"/>
      <w:r>
        <w:rPr>
          <w:rStyle w:val="Emphasis"/>
          <w:i w:val="0"/>
        </w:rPr>
        <w:t xml:space="preserve"> for the </w:t>
      </w:r>
      <w:proofErr w:type="spellStart"/>
      <w:r>
        <w:rPr>
          <w:rStyle w:val="Emphasis"/>
          <w:i w:val="0"/>
        </w:rPr>
        <w:t>wt</w:t>
      </w:r>
      <w:proofErr w:type="spellEnd"/>
      <w:r>
        <w:rPr>
          <w:rStyle w:val="Emphasis"/>
          <w:i w:val="0"/>
        </w:rPr>
        <w:t xml:space="preserve"> enzyme is 2.48 at pH 7.25.</w:t>
      </w:r>
    </w:p>
    <w:p w:rsidR="0097641A" w:rsidRDefault="0097641A" w:rsidP="00672002">
      <w:pPr>
        <w:jc w:val="left"/>
        <w:rPr>
          <w:rStyle w:val="Emphasis"/>
          <w:i w:val="0"/>
        </w:rPr>
      </w:pPr>
      <w:r>
        <w:rPr>
          <w:rStyle w:val="Emphasis"/>
          <w:i w:val="0"/>
        </w:rPr>
        <w:t>This non-multiplicative combined isotope effect</w:t>
      </w:r>
      <w:r w:rsidR="00435B3E">
        <w:rPr>
          <w:rStyle w:val="Emphasis"/>
          <w:i w:val="0"/>
        </w:rPr>
        <w:t xml:space="preserve"> </w:t>
      </w:r>
      <w:r w:rsidR="0047781E">
        <w:rPr>
          <w:rStyle w:val="Emphasis"/>
          <w:i w:val="0"/>
        </w:rPr>
        <w:t>suggest</w:t>
      </w:r>
      <w:r>
        <w:rPr>
          <w:rStyle w:val="Emphasis"/>
          <w:i w:val="0"/>
        </w:rPr>
        <w:t>s</w:t>
      </w:r>
      <w:r w:rsidR="0047781E">
        <w:rPr>
          <w:rStyle w:val="Emphasis"/>
          <w:i w:val="0"/>
        </w:rPr>
        <w:t xml:space="preserve"> that hydride transfer and water </w:t>
      </w:r>
      <w:proofErr w:type="spellStart"/>
      <w:r w:rsidR="0047781E">
        <w:rPr>
          <w:rStyle w:val="Emphasis"/>
          <w:i w:val="0"/>
        </w:rPr>
        <w:t>deprotonation</w:t>
      </w:r>
      <w:proofErr w:type="spellEnd"/>
      <w:r w:rsidR="0047781E">
        <w:rPr>
          <w:rStyle w:val="Emphasis"/>
          <w:i w:val="0"/>
        </w:rPr>
        <w:t xml:space="preserve"> </w:t>
      </w:r>
      <w:r w:rsidR="00435B3E">
        <w:rPr>
          <w:rStyle w:val="Emphasis"/>
          <w:i w:val="0"/>
        </w:rPr>
        <w:t>occur in sep</w:t>
      </w:r>
      <w:r w:rsidR="0047781E">
        <w:rPr>
          <w:rStyle w:val="Emphasis"/>
          <w:i w:val="0"/>
        </w:rPr>
        <w:t>ar</w:t>
      </w:r>
      <w:r w:rsidR="00435B3E">
        <w:rPr>
          <w:rStyle w:val="Emphasis"/>
          <w:i w:val="0"/>
        </w:rPr>
        <w:t>a</w:t>
      </w:r>
      <w:r w:rsidR="0047781E">
        <w:rPr>
          <w:rStyle w:val="Emphasis"/>
          <w:i w:val="0"/>
        </w:rPr>
        <w:t xml:space="preserve">te steps for the </w:t>
      </w:r>
      <w:proofErr w:type="spellStart"/>
      <w:r w:rsidR="0047781E">
        <w:rPr>
          <w:rStyle w:val="Emphasis"/>
          <w:i w:val="0"/>
        </w:rPr>
        <w:t>wt</w:t>
      </w:r>
      <w:proofErr w:type="spellEnd"/>
      <w:r w:rsidR="0047781E">
        <w:rPr>
          <w:rStyle w:val="Emphasis"/>
          <w:i w:val="0"/>
        </w:rPr>
        <w:t xml:space="preserve"> enzyme. However, an alternative explanation is that solvent labeling may affect more than just the water </w:t>
      </w:r>
      <w:proofErr w:type="spellStart"/>
      <w:r w:rsidR="0047781E">
        <w:rPr>
          <w:rStyle w:val="Emphasis"/>
          <w:i w:val="0"/>
        </w:rPr>
        <w:t>deprotonation</w:t>
      </w:r>
      <w:proofErr w:type="spellEnd"/>
      <w:r w:rsidR="0047781E">
        <w:rPr>
          <w:rStyle w:val="Emphasis"/>
          <w:i w:val="0"/>
        </w:rPr>
        <w:t xml:space="preserve"> step. If so, the observed SIE is only partially due to the </w:t>
      </w:r>
      <w:proofErr w:type="spellStart"/>
      <w:r w:rsidR="0047781E">
        <w:rPr>
          <w:rStyle w:val="Emphasis"/>
          <w:i w:val="0"/>
        </w:rPr>
        <w:t>deprotonation</w:t>
      </w:r>
      <w:proofErr w:type="spellEnd"/>
      <w:r w:rsidR="0047781E">
        <w:rPr>
          <w:rStyle w:val="Emphasis"/>
          <w:i w:val="0"/>
        </w:rPr>
        <w:t xml:space="preserve"> step and hence the actual isotope effect on water </w:t>
      </w:r>
      <w:proofErr w:type="spellStart"/>
      <w:r w:rsidR="0047781E">
        <w:rPr>
          <w:rStyle w:val="Emphasis"/>
          <w:i w:val="0"/>
        </w:rPr>
        <w:t>deprotonation</w:t>
      </w:r>
      <w:proofErr w:type="spellEnd"/>
      <w:r w:rsidR="0047781E">
        <w:rPr>
          <w:rStyle w:val="Emphasis"/>
          <w:i w:val="0"/>
        </w:rPr>
        <w:t xml:space="preserve"> may be less than 1.55. </w:t>
      </w:r>
      <w:r>
        <w:rPr>
          <w:rStyle w:val="Emphasis"/>
          <w:i w:val="0"/>
        </w:rPr>
        <w:t xml:space="preserve">If the contribution of the water </w:t>
      </w:r>
      <w:proofErr w:type="spellStart"/>
      <w:r>
        <w:rPr>
          <w:rStyle w:val="Emphasis"/>
          <w:i w:val="0"/>
        </w:rPr>
        <w:t>deprotonation</w:t>
      </w:r>
      <w:proofErr w:type="spellEnd"/>
      <w:r>
        <w:rPr>
          <w:rStyle w:val="Emphasis"/>
          <w:i w:val="0"/>
        </w:rPr>
        <w:t xml:space="preserve"> step had an isotope effect of ~1.1, then the obser</w:t>
      </w:r>
      <w:bookmarkStart w:id="0" w:name="_GoBack"/>
      <w:bookmarkEnd w:id="0"/>
      <w:r>
        <w:rPr>
          <w:rStyle w:val="Emphasis"/>
          <w:i w:val="0"/>
        </w:rPr>
        <w:t xml:space="preserve">ved combined effect could actually be multiplicative and hence we cannot strictly rule out that water </w:t>
      </w:r>
      <w:proofErr w:type="spellStart"/>
      <w:r>
        <w:rPr>
          <w:rStyle w:val="Emphasis"/>
          <w:i w:val="0"/>
        </w:rPr>
        <w:t>deprotonation</w:t>
      </w:r>
      <w:proofErr w:type="spellEnd"/>
      <w:r>
        <w:rPr>
          <w:rStyle w:val="Emphasis"/>
          <w:i w:val="0"/>
        </w:rPr>
        <w:t xml:space="preserve"> and hydride transfer take place in the same transition state.</w:t>
      </w:r>
    </w:p>
    <w:p w:rsidR="00435B3E" w:rsidRDefault="0047781E" w:rsidP="00672002">
      <w:pPr>
        <w:jc w:val="left"/>
        <w:rPr>
          <w:rStyle w:val="Emphasis"/>
          <w:i w:val="0"/>
        </w:rPr>
      </w:pPr>
      <w:r>
        <w:rPr>
          <w:rStyle w:val="Emphasis"/>
          <w:i w:val="0"/>
        </w:rPr>
        <w:t xml:space="preserve">Such a small </w:t>
      </w:r>
      <w:r w:rsidR="0097641A">
        <w:rPr>
          <w:rStyle w:val="Emphasis"/>
          <w:i w:val="0"/>
        </w:rPr>
        <w:t xml:space="preserve">solvent </w:t>
      </w:r>
      <w:r>
        <w:rPr>
          <w:rStyle w:val="Emphasis"/>
          <w:i w:val="0"/>
        </w:rPr>
        <w:t xml:space="preserve">isotope effect </w:t>
      </w:r>
      <w:r w:rsidR="0097641A">
        <w:rPr>
          <w:rStyle w:val="Emphasis"/>
          <w:i w:val="0"/>
        </w:rPr>
        <w:t xml:space="preserve">of 1.1 </w:t>
      </w:r>
      <w:r>
        <w:rPr>
          <w:rStyle w:val="Emphasis"/>
          <w:i w:val="0"/>
        </w:rPr>
        <w:t xml:space="preserve">would not </w:t>
      </w:r>
      <w:r w:rsidR="00A91D2F">
        <w:rPr>
          <w:rStyle w:val="Emphasis"/>
          <w:i w:val="0"/>
        </w:rPr>
        <w:t xml:space="preserve">necessarily </w:t>
      </w:r>
      <w:r>
        <w:rPr>
          <w:rStyle w:val="Emphasis"/>
          <w:i w:val="0"/>
        </w:rPr>
        <w:t xml:space="preserve">be inconsistent with Arg301 acting as active site base because a </w:t>
      </w:r>
      <w:r>
        <w:rPr>
          <w:rStyle w:val="Emphasis"/>
          <w:rFonts w:ascii="Symbol" w:hAnsi="Symbol"/>
          <w:i w:val="0"/>
        </w:rPr>
        <w:t></w:t>
      </w:r>
      <w:r>
        <w:rPr>
          <w:rStyle w:val="Emphasis"/>
          <w:i w:val="0"/>
        </w:rPr>
        <w:t xml:space="preserve"> value of 1 implies a very late transition state (essentially full bond formation between the guanidine nitrogen and the proton), which in turn would be expected to have a small KIE. </w:t>
      </w:r>
    </w:p>
    <w:p w:rsidR="0097641A" w:rsidRDefault="0097641A" w:rsidP="00672002">
      <w:pPr>
        <w:jc w:val="left"/>
        <w:rPr>
          <w:rStyle w:val="Emphasis"/>
          <w:i w:val="0"/>
        </w:rPr>
      </w:pPr>
      <w:r>
        <w:rPr>
          <w:rStyle w:val="Emphasis"/>
          <w:i w:val="0"/>
        </w:rPr>
        <w:t>Hence the small SIE and non-multiplica</w:t>
      </w:r>
      <w:r w:rsidR="00A91D2F">
        <w:rPr>
          <w:rStyle w:val="Emphasis"/>
          <w:i w:val="0"/>
        </w:rPr>
        <w:t>tive SIE and substrate KIE do</w:t>
      </w:r>
      <w:r>
        <w:rPr>
          <w:rStyle w:val="Emphasis"/>
          <w:i w:val="0"/>
        </w:rPr>
        <w:t xml:space="preserve"> not rule out </w:t>
      </w:r>
      <w:r w:rsidR="00A91D2F">
        <w:rPr>
          <w:rStyle w:val="Emphasis"/>
          <w:i w:val="0"/>
        </w:rPr>
        <w:t>a role of Arg301 as base, but we find this explanation less likely.</w:t>
      </w:r>
    </w:p>
    <w:p w:rsidR="00435B3E" w:rsidRDefault="00435B3E" w:rsidP="00672002">
      <w:pPr>
        <w:jc w:val="left"/>
        <w:rPr>
          <w:rStyle w:val="Emphasis"/>
          <w:i w:val="0"/>
        </w:rPr>
      </w:pPr>
    </w:p>
    <w:p w:rsidR="0097641A" w:rsidRPr="00771365" w:rsidRDefault="00435B3E" w:rsidP="0097641A">
      <w:pPr>
        <w:ind w:left="720" w:hanging="720"/>
        <w:jc w:val="left"/>
        <w:rPr>
          <w:rFonts w:cs="Times"/>
          <w:noProof/>
          <w:szCs w:val="24"/>
        </w:rPr>
      </w:pPr>
      <w:r>
        <w:rPr>
          <w:rFonts w:ascii="Symbol" w:hAnsi="Symbol"/>
          <w:b/>
          <w:szCs w:val="24"/>
        </w:rPr>
        <w:fldChar w:fldCharType="begin"/>
      </w:r>
      <w:r>
        <w:rPr>
          <w:rFonts w:ascii="Symbol" w:hAnsi="Symbol"/>
          <w:b/>
          <w:szCs w:val="24"/>
        </w:rPr>
        <w:instrText xml:space="preserve"> ADDIN EN.REFLIST </w:instrText>
      </w:r>
      <w:r>
        <w:rPr>
          <w:rFonts w:ascii="Symbol" w:hAnsi="Symbol"/>
          <w:b/>
          <w:szCs w:val="24"/>
        </w:rPr>
        <w:fldChar w:fldCharType="separate"/>
      </w:r>
      <w:bookmarkStart w:id="1" w:name="_ENREF_1"/>
      <w:r w:rsidR="0097641A" w:rsidRPr="00771365">
        <w:rPr>
          <w:rFonts w:cs="Times"/>
          <w:noProof/>
          <w:szCs w:val="24"/>
        </w:rPr>
        <w:t>1.</w:t>
      </w:r>
      <w:r w:rsidR="0097641A" w:rsidRPr="00771365">
        <w:rPr>
          <w:rFonts w:cs="Times"/>
          <w:noProof/>
          <w:szCs w:val="24"/>
        </w:rPr>
        <w:tab/>
        <w:t xml:space="preserve">Relyea, H. A., Vrtis, J. M., Woodyer, R., Rimkus, S. A., and van der Donk, W. A. (2005) Inhibition and pH dependence of phosphite dehydrogenase, </w:t>
      </w:r>
      <w:r w:rsidR="0097641A" w:rsidRPr="00771365">
        <w:rPr>
          <w:rFonts w:cs="Times"/>
          <w:i/>
          <w:noProof/>
          <w:szCs w:val="24"/>
        </w:rPr>
        <w:t>Biochemistry</w:t>
      </w:r>
      <w:r w:rsidR="0097641A" w:rsidRPr="00771365">
        <w:rPr>
          <w:rFonts w:cs="Times"/>
          <w:noProof/>
          <w:szCs w:val="24"/>
        </w:rPr>
        <w:t xml:space="preserve"> </w:t>
      </w:r>
      <w:r w:rsidR="0097641A" w:rsidRPr="00771365">
        <w:rPr>
          <w:rFonts w:cs="Times"/>
          <w:i/>
          <w:noProof/>
          <w:szCs w:val="24"/>
        </w:rPr>
        <w:t>44</w:t>
      </w:r>
      <w:r w:rsidR="0097641A" w:rsidRPr="00771365">
        <w:rPr>
          <w:rFonts w:cs="Times"/>
          <w:noProof/>
          <w:szCs w:val="24"/>
        </w:rPr>
        <w:t>, 6640-6649.</w:t>
      </w:r>
      <w:bookmarkEnd w:id="1"/>
    </w:p>
    <w:p w:rsidR="0097641A" w:rsidRDefault="0097641A" w:rsidP="0097641A">
      <w:pPr>
        <w:jc w:val="left"/>
        <w:rPr>
          <w:rFonts w:cs="Times"/>
          <w:b/>
          <w:noProof/>
          <w:szCs w:val="24"/>
        </w:rPr>
      </w:pPr>
    </w:p>
    <w:p w:rsidR="0047781E" w:rsidRPr="00A03DA6" w:rsidRDefault="00435B3E" w:rsidP="00672002">
      <w:pPr>
        <w:jc w:val="left"/>
        <w:rPr>
          <w:rFonts w:ascii="Symbol" w:hAnsi="Symbol"/>
          <w:szCs w:val="24"/>
        </w:rPr>
      </w:pPr>
      <w:r>
        <w:rPr>
          <w:rFonts w:ascii="Symbol" w:hAnsi="Symbol"/>
          <w:b/>
          <w:szCs w:val="24"/>
        </w:rPr>
        <w:fldChar w:fldCharType="end"/>
      </w:r>
    </w:p>
    <w:sectPr w:rsidR="0047781E" w:rsidRPr="00A03D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EC" w:rsidRDefault="005C68EC" w:rsidP="001E31EE">
      <w:pPr>
        <w:spacing w:after="0"/>
      </w:pPr>
      <w:r>
        <w:separator/>
      </w:r>
    </w:p>
  </w:endnote>
  <w:endnote w:type="continuationSeparator" w:id="0">
    <w:p w:rsidR="005C68EC" w:rsidRDefault="005C68EC" w:rsidP="001E3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384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31EE" w:rsidRDefault="006F4765" w:rsidP="006F4765">
        <w:pPr>
          <w:pStyle w:val="Footer"/>
          <w:jc w:val="center"/>
        </w:pPr>
        <w:r>
          <w:t>S</w:t>
        </w:r>
        <w:r w:rsidR="001E31EE">
          <w:fldChar w:fldCharType="begin"/>
        </w:r>
        <w:r w:rsidR="001E31EE">
          <w:instrText xml:space="preserve"> PAGE   \* MERGEFORMAT </w:instrText>
        </w:r>
        <w:r w:rsidR="001E31EE">
          <w:fldChar w:fldCharType="separate"/>
        </w:r>
        <w:r w:rsidR="000F41AD">
          <w:rPr>
            <w:noProof/>
          </w:rPr>
          <w:t>1</w:t>
        </w:r>
        <w:r w:rsidR="001E31EE">
          <w:rPr>
            <w:noProof/>
          </w:rPr>
          <w:fldChar w:fldCharType="end"/>
        </w:r>
      </w:p>
    </w:sdtContent>
  </w:sdt>
  <w:p w:rsidR="001E31EE" w:rsidRDefault="001E3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EC" w:rsidRDefault="005C68EC" w:rsidP="001E31EE">
      <w:pPr>
        <w:spacing w:after="0"/>
      </w:pPr>
      <w:r>
        <w:separator/>
      </w:r>
    </w:p>
  </w:footnote>
  <w:footnote w:type="continuationSeparator" w:id="0">
    <w:p w:rsidR="005C68EC" w:rsidRDefault="005C68EC" w:rsidP="001E31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chemistr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xzsfa0wbpdzxoeaffpv0ex0darrdz2pafe5&quot;&gt;props new Copy Copy&lt;record-ids&gt;&lt;item&gt;5134&lt;/item&gt;&lt;/record-ids&gt;&lt;/item&gt;&lt;/Libraries&gt;"/>
  </w:docVars>
  <w:rsids>
    <w:rsidRoot w:val="007719D8"/>
    <w:rsid w:val="00010353"/>
    <w:rsid w:val="00027816"/>
    <w:rsid w:val="0003275C"/>
    <w:rsid w:val="00054F9C"/>
    <w:rsid w:val="0009758D"/>
    <w:rsid w:val="000B7FF6"/>
    <w:rsid w:val="000E35A9"/>
    <w:rsid w:val="000F41AD"/>
    <w:rsid w:val="00115A10"/>
    <w:rsid w:val="00121D58"/>
    <w:rsid w:val="001405BB"/>
    <w:rsid w:val="0014730A"/>
    <w:rsid w:val="00157A31"/>
    <w:rsid w:val="00157E36"/>
    <w:rsid w:val="00167A2D"/>
    <w:rsid w:val="001804E1"/>
    <w:rsid w:val="00183877"/>
    <w:rsid w:val="00191476"/>
    <w:rsid w:val="001A58E8"/>
    <w:rsid w:val="001C772A"/>
    <w:rsid w:val="001E31EE"/>
    <w:rsid w:val="001F71C6"/>
    <w:rsid w:val="00227EAC"/>
    <w:rsid w:val="00233F8E"/>
    <w:rsid w:val="0027298C"/>
    <w:rsid w:val="00274BD7"/>
    <w:rsid w:val="0028547B"/>
    <w:rsid w:val="002B6FC6"/>
    <w:rsid w:val="002C1EC4"/>
    <w:rsid w:val="002C4B03"/>
    <w:rsid w:val="002E2C46"/>
    <w:rsid w:val="002E32A7"/>
    <w:rsid w:val="00333EC3"/>
    <w:rsid w:val="003563E4"/>
    <w:rsid w:val="00360F31"/>
    <w:rsid w:val="00361767"/>
    <w:rsid w:val="003D2D4E"/>
    <w:rsid w:val="003F4318"/>
    <w:rsid w:val="004345FF"/>
    <w:rsid w:val="00435B3E"/>
    <w:rsid w:val="004401EF"/>
    <w:rsid w:val="00456656"/>
    <w:rsid w:val="004656CF"/>
    <w:rsid w:val="00466DB0"/>
    <w:rsid w:val="0047781E"/>
    <w:rsid w:val="004A7BBA"/>
    <w:rsid w:val="004B77D5"/>
    <w:rsid w:val="004C457E"/>
    <w:rsid w:val="004C5E45"/>
    <w:rsid w:val="004C77E3"/>
    <w:rsid w:val="004D0014"/>
    <w:rsid w:val="00505392"/>
    <w:rsid w:val="00514D5E"/>
    <w:rsid w:val="0052625F"/>
    <w:rsid w:val="005278E7"/>
    <w:rsid w:val="005507AF"/>
    <w:rsid w:val="0055176D"/>
    <w:rsid w:val="0055706A"/>
    <w:rsid w:val="005931DC"/>
    <w:rsid w:val="005933EF"/>
    <w:rsid w:val="005B0DFB"/>
    <w:rsid w:val="005B61AE"/>
    <w:rsid w:val="005C68EC"/>
    <w:rsid w:val="005F08C6"/>
    <w:rsid w:val="005F2D95"/>
    <w:rsid w:val="00614C4C"/>
    <w:rsid w:val="006351A7"/>
    <w:rsid w:val="00637395"/>
    <w:rsid w:val="00657C21"/>
    <w:rsid w:val="00672002"/>
    <w:rsid w:val="00684C74"/>
    <w:rsid w:val="006A5E1D"/>
    <w:rsid w:val="006C0731"/>
    <w:rsid w:val="006C0FC0"/>
    <w:rsid w:val="006D61C9"/>
    <w:rsid w:val="006F4765"/>
    <w:rsid w:val="0070218D"/>
    <w:rsid w:val="00707EE5"/>
    <w:rsid w:val="007468E2"/>
    <w:rsid w:val="00761AD0"/>
    <w:rsid w:val="00761FE9"/>
    <w:rsid w:val="00771365"/>
    <w:rsid w:val="007719D8"/>
    <w:rsid w:val="007B131B"/>
    <w:rsid w:val="007B2ED1"/>
    <w:rsid w:val="007D052D"/>
    <w:rsid w:val="007E4123"/>
    <w:rsid w:val="008008F9"/>
    <w:rsid w:val="00804458"/>
    <w:rsid w:val="00813A63"/>
    <w:rsid w:val="008237EA"/>
    <w:rsid w:val="00824918"/>
    <w:rsid w:val="0084167F"/>
    <w:rsid w:val="00846B7B"/>
    <w:rsid w:val="00856D28"/>
    <w:rsid w:val="008729C7"/>
    <w:rsid w:val="008B7568"/>
    <w:rsid w:val="008C5ADB"/>
    <w:rsid w:val="008D10B6"/>
    <w:rsid w:val="008D5DA9"/>
    <w:rsid w:val="008D7905"/>
    <w:rsid w:val="008E07E8"/>
    <w:rsid w:val="00906A35"/>
    <w:rsid w:val="00931209"/>
    <w:rsid w:val="0097641A"/>
    <w:rsid w:val="009777B3"/>
    <w:rsid w:val="009B2EC3"/>
    <w:rsid w:val="009B7A76"/>
    <w:rsid w:val="00A03DA6"/>
    <w:rsid w:val="00A10963"/>
    <w:rsid w:val="00A11496"/>
    <w:rsid w:val="00A27279"/>
    <w:rsid w:val="00A27900"/>
    <w:rsid w:val="00A33968"/>
    <w:rsid w:val="00A364CD"/>
    <w:rsid w:val="00A4699F"/>
    <w:rsid w:val="00A4705D"/>
    <w:rsid w:val="00A52028"/>
    <w:rsid w:val="00A842F4"/>
    <w:rsid w:val="00A90857"/>
    <w:rsid w:val="00A91D2F"/>
    <w:rsid w:val="00A945CB"/>
    <w:rsid w:val="00B20CB5"/>
    <w:rsid w:val="00B25575"/>
    <w:rsid w:val="00B409E7"/>
    <w:rsid w:val="00B4501C"/>
    <w:rsid w:val="00B63306"/>
    <w:rsid w:val="00B96D23"/>
    <w:rsid w:val="00BA1E2C"/>
    <w:rsid w:val="00BB3EFD"/>
    <w:rsid w:val="00BD5128"/>
    <w:rsid w:val="00C176CF"/>
    <w:rsid w:val="00C31C90"/>
    <w:rsid w:val="00C327CA"/>
    <w:rsid w:val="00C5291E"/>
    <w:rsid w:val="00C63046"/>
    <w:rsid w:val="00C73410"/>
    <w:rsid w:val="00C777AD"/>
    <w:rsid w:val="00C8360E"/>
    <w:rsid w:val="00CC4962"/>
    <w:rsid w:val="00CD202C"/>
    <w:rsid w:val="00CD778B"/>
    <w:rsid w:val="00CE0B41"/>
    <w:rsid w:val="00CE16B0"/>
    <w:rsid w:val="00D0625B"/>
    <w:rsid w:val="00D110F5"/>
    <w:rsid w:val="00D163A0"/>
    <w:rsid w:val="00D20147"/>
    <w:rsid w:val="00D302FB"/>
    <w:rsid w:val="00D420F1"/>
    <w:rsid w:val="00D5378F"/>
    <w:rsid w:val="00D53A0D"/>
    <w:rsid w:val="00D60281"/>
    <w:rsid w:val="00D8058F"/>
    <w:rsid w:val="00D82255"/>
    <w:rsid w:val="00D82EBB"/>
    <w:rsid w:val="00DA0D6C"/>
    <w:rsid w:val="00DC65A7"/>
    <w:rsid w:val="00DD20CB"/>
    <w:rsid w:val="00DE2A56"/>
    <w:rsid w:val="00DE7D77"/>
    <w:rsid w:val="00E12180"/>
    <w:rsid w:val="00E166A1"/>
    <w:rsid w:val="00E24B90"/>
    <w:rsid w:val="00E33372"/>
    <w:rsid w:val="00E33A7D"/>
    <w:rsid w:val="00E5707A"/>
    <w:rsid w:val="00E6312F"/>
    <w:rsid w:val="00E6328E"/>
    <w:rsid w:val="00E637C5"/>
    <w:rsid w:val="00EA10C2"/>
    <w:rsid w:val="00EA4A21"/>
    <w:rsid w:val="00ED6289"/>
    <w:rsid w:val="00F26B7E"/>
    <w:rsid w:val="00F3423A"/>
    <w:rsid w:val="00FA2FCB"/>
    <w:rsid w:val="00FA7CB2"/>
    <w:rsid w:val="00FC1348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AD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C77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77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7AD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A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C0"/>
    <w:rPr>
      <w:rFonts w:ascii="Times" w:eastAsia="Times New Roman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7C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1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1E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1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1EE"/>
    <w:rPr>
      <w:rFonts w:ascii="Times" w:eastAsia="Times New Roman" w:hAnsi="Times" w:cs="Times New Roman"/>
      <w:sz w:val="24"/>
      <w:szCs w:val="20"/>
    </w:rPr>
  </w:style>
  <w:style w:type="paragraph" w:customStyle="1" w:styleId="TAMainText">
    <w:name w:val="TA_Main_Text"/>
    <w:basedOn w:val="Normal"/>
    <w:rsid w:val="00614C4C"/>
    <w:pPr>
      <w:spacing w:after="0" w:line="480" w:lineRule="auto"/>
      <w:ind w:firstLine="202"/>
    </w:pPr>
  </w:style>
  <w:style w:type="character" w:styleId="Emphasis">
    <w:name w:val="Emphasis"/>
    <w:qFormat/>
    <w:rsid w:val="0047781E"/>
    <w:rPr>
      <w:i/>
      <w:iCs/>
    </w:rPr>
  </w:style>
  <w:style w:type="character" w:styleId="Hyperlink">
    <w:name w:val="Hyperlink"/>
    <w:basedOn w:val="DefaultParagraphFont"/>
    <w:uiPriority w:val="99"/>
    <w:unhideWhenUsed/>
    <w:rsid w:val="00435B3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5128"/>
    <w:pPr>
      <w:spacing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7AD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C77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777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7AD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7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AD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C0"/>
    <w:rPr>
      <w:rFonts w:ascii="Times" w:eastAsia="Times New Roman" w:hAnsi="Times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7C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31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31EE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31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31EE"/>
    <w:rPr>
      <w:rFonts w:ascii="Times" w:eastAsia="Times New Roman" w:hAnsi="Times" w:cs="Times New Roman"/>
      <w:sz w:val="24"/>
      <w:szCs w:val="20"/>
    </w:rPr>
  </w:style>
  <w:style w:type="paragraph" w:customStyle="1" w:styleId="TAMainText">
    <w:name w:val="TA_Main_Text"/>
    <w:basedOn w:val="Normal"/>
    <w:rsid w:val="00614C4C"/>
    <w:pPr>
      <w:spacing w:after="0" w:line="480" w:lineRule="auto"/>
      <w:ind w:firstLine="202"/>
    </w:pPr>
  </w:style>
  <w:style w:type="character" w:styleId="Emphasis">
    <w:name w:val="Emphasis"/>
    <w:qFormat/>
    <w:rsid w:val="0047781E"/>
    <w:rPr>
      <w:i/>
      <w:iCs/>
    </w:rPr>
  </w:style>
  <w:style w:type="character" w:styleId="Hyperlink">
    <w:name w:val="Hyperlink"/>
    <w:basedOn w:val="DefaultParagraphFont"/>
    <w:uiPriority w:val="99"/>
    <w:unhideWhenUsed/>
    <w:rsid w:val="00435B3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5128"/>
    <w:pPr>
      <w:spacing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Hung</dc:creator>
  <cp:lastModifiedBy>vddonk</cp:lastModifiedBy>
  <cp:revision>2</cp:revision>
  <cp:lastPrinted>2013-07-25T22:09:00Z</cp:lastPrinted>
  <dcterms:created xsi:type="dcterms:W3CDTF">2013-11-24T21:35:00Z</dcterms:created>
  <dcterms:modified xsi:type="dcterms:W3CDTF">2013-11-24T21:35:00Z</dcterms:modified>
</cp:coreProperties>
</file>