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7"/>
        <w:gridCol w:w="2264"/>
        <w:gridCol w:w="1119"/>
        <w:gridCol w:w="5769"/>
      </w:tblGrid>
      <w:tr w:rsidR="00BB3832" w:rsidRPr="00204548" w:rsidTr="00AB5FB0">
        <w:tc>
          <w:tcPr>
            <w:tcW w:w="10489" w:type="dxa"/>
            <w:gridSpan w:val="4"/>
            <w:tcBorders>
              <w:bottom w:val="single" w:sz="12" w:space="0" w:color="auto"/>
            </w:tcBorders>
          </w:tcPr>
          <w:p w:rsidR="00BB3832" w:rsidRPr="00204548" w:rsidRDefault="00BB3832" w:rsidP="00A873B9">
            <w:pPr>
              <w:spacing w:line="240" w:lineRule="auto"/>
              <w:contextualSpacing/>
              <w:rPr>
                <w:rFonts w:ascii="Arial" w:hAnsi="Arial"/>
              </w:rPr>
            </w:pPr>
            <w:r w:rsidRPr="00204548">
              <w:rPr>
                <w:rFonts w:ascii="Arial" w:hAnsi="Arial"/>
                <w:b/>
              </w:rPr>
              <w:t xml:space="preserve">Table </w:t>
            </w:r>
            <w:r>
              <w:rPr>
                <w:rFonts w:ascii="Arial" w:hAnsi="Arial"/>
                <w:b/>
              </w:rPr>
              <w:t>S3</w:t>
            </w:r>
            <w:r w:rsidR="00A873B9">
              <w:rPr>
                <w:rFonts w:ascii="Arial" w:hAnsi="Arial"/>
              </w:rPr>
              <w:t>.</w:t>
            </w:r>
            <w:bookmarkStart w:id="0" w:name="_GoBack"/>
            <w:bookmarkEnd w:id="0"/>
            <w:r w:rsidRPr="0020454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Assumptions made to fill the gaps in the CPI time-series.</w:t>
            </w:r>
          </w:p>
        </w:tc>
      </w:tr>
      <w:tr w:rsidR="00BB3832" w:rsidRPr="00204548" w:rsidTr="00AB5FB0"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</w:tcPr>
          <w:p w:rsidR="00BB3832" w:rsidRPr="00204548" w:rsidRDefault="00BB3832" w:rsidP="00AB5FB0">
            <w:pPr>
              <w:spacing w:line="240" w:lineRule="auto"/>
              <w:contextualSpacing/>
              <w:rPr>
                <w:rFonts w:ascii="Arial" w:hAnsi="Arial"/>
                <w:b/>
                <w:sz w:val="20"/>
              </w:rPr>
            </w:pPr>
            <w:r w:rsidRPr="00204548">
              <w:rPr>
                <w:rFonts w:ascii="Arial" w:hAnsi="Arial"/>
                <w:b/>
                <w:sz w:val="20"/>
              </w:rPr>
              <w:t>Time-series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4" w:space="0" w:color="auto"/>
            </w:tcBorders>
          </w:tcPr>
          <w:p w:rsidR="00BB3832" w:rsidRPr="00204548" w:rsidRDefault="00BB3832" w:rsidP="00AB5FB0">
            <w:pPr>
              <w:spacing w:line="240" w:lineRule="auto"/>
              <w:contextualSpacing/>
              <w:rPr>
                <w:rFonts w:ascii="Arial" w:hAnsi="Arial"/>
                <w:b/>
                <w:sz w:val="20"/>
              </w:rPr>
            </w:pPr>
            <w:r w:rsidRPr="00204548">
              <w:rPr>
                <w:rFonts w:ascii="Arial" w:hAnsi="Arial"/>
                <w:b/>
                <w:sz w:val="20"/>
              </w:rPr>
              <w:t>Country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</w:tcPr>
          <w:p w:rsidR="00BB3832" w:rsidRPr="00204548" w:rsidRDefault="00BB3832" w:rsidP="00AB5FB0">
            <w:pPr>
              <w:spacing w:line="240" w:lineRule="auto"/>
              <w:contextualSpacing/>
              <w:rPr>
                <w:rFonts w:ascii="Arial" w:hAnsi="Arial"/>
                <w:b/>
                <w:sz w:val="20"/>
              </w:rPr>
            </w:pPr>
            <w:r w:rsidRPr="00204548">
              <w:rPr>
                <w:rFonts w:ascii="Arial" w:hAnsi="Arial"/>
                <w:b/>
                <w:sz w:val="20"/>
              </w:rPr>
              <w:t>Period</w:t>
            </w:r>
          </w:p>
        </w:tc>
        <w:tc>
          <w:tcPr>
            <w:tcW w:w="5769" w:type="dxa"/>
            <w:tcBorders>
              <w:top w:val="single" w:sz="12" w:space="0" w:color="auto"/>
              <w:bottom w:val="single" w:sz="4" w:space="0" w:color="auto"/>
            </w:tcBorders>
          </w:tcPr>
          <w:p w:rsidR="00BB3832" w:rsidRPr="00204548" w:rsidRDefault="00BB3832" w:rsidP="00AB5FB0">
            <w:pPr>
              <w:spacing w:line="240" w:lineRule="auto"/>
              <w:contextualSpacing/>
              <w:rPr>
                <w:rFonts w:ascii="Arial" w:hAnsi="Arial"/>
                <w:b/>
                <w:sz w:val="20"/>
              </w:rPr>
            </w:pPr>
            <w:r w:rsidRPr="00204548">
              <w:rPr>
                <w:rFonts w:ascii="Arial" w:hAnsi="Arial"/>
                <w:b/>
                <w:sz w:val="20"/>
              </w:rPr>
              <w:t>Comment</w:t>
            </w:r>
          </w:p>
        </w:tc>
      </w:tr>
      <w:tr w:rsidR="00BB3832" w:rsidRPr="00204548" w:rsidTr="00AB5FB0">
        <w:trPr>
          <w:trHeight w:hRule="exact" w:val="1889"/>
        </w:trPr>
        <w:tc>
          <w:tcPr>
            <w:tcW w:w="1337" w:type="dxa"/>
            <w:tcBorders>
              <w:top w:val="single" w:sz="4" w:space="0" w:color="auto"/>
            </w:tcBorders>
          </w:tcPr>
          <w:p w:rsidR="00BB3832" w:rsidRPr="00204548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204548">
              <w:rPr>
                <w:rFonts w:ascii="Arial" w:hAnsi="Arial"/>
                <w:sz w:val="20"/>
              </w:rPr>
              <w:t>CPI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BB3832" w:rsidRPr="00BD2847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BD2847">
              <w:rPr>
                <w:rFonts w:ascii="Arial" w:hAnsi="Arial"/>
                <w:sz w:val="20"/>
              </w:rPr>
              <w:t>Angola</w:t>
            </w:r>
          </w:p>
          <w:p w:rsidR="00BB3832" w:rsidRPr="00BD2847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BD2847">
              <w:rPr>
                <w:rFonts w:ascii="Arial" w:hAnsi="Arial"/>
                <w:sz w:val="20"/>
              </w:rPr>
              <w:t>Comoros</w:t>
            </w:r>
          </w:p>
          <w:p w:rsidR="00BB3832" w:rsidRPr="00BD2847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BD2847">
              <w:rPr>
                <w:rFonts w:ascii="Arial" w:hAnsi="Arial"/>
                <w:sz w:val="20"/>
              </w:rPr>
              <w:t>Equatorial Guinea</w:t>
            </w:r>
          </w:p>
          <w:p w:rsidR="00BB3832" w:rsidRPr="00BD2847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BD2847">
              <w:rPr>
                <w:rFonts w:ascii="Arial" w:hAnsi="Arial"/>
                <w:sz w:val="20"/>
              </w:rPr>
              <w:t>Guinea</w:t>
            </w:r>
          </w:p>
          <w:p w:rsidR="00BB3832" w:rsidRPr="00BD2847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BD2847">
              <w:rPr>
                <w:rFonts w:ascii="Arial" w:hAnsi="Arial"/>
                <w:sz w:val="20"/>
              </w:rPr>
              <w:t>Guinea-Bissau</w:t>
            </w:r>
          </w:p>
          <w:p w:rsidR="00BB3832" w:rsidRPr="00313CF6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313CF6">
              <w:rPr>
                <w:rFonts w:ascii="Arial" w:hAnsi="Arial"/>
                <w:sz w:val="20"/>
              </w:rPr>
              <w:t>Sao Tome and Principe</w:t>
            </w:r>
          </w:p>
          <w:p w:rsidR="00BB3832" w:rsidRPr="00313CF6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313CF6">
              <w:rPr>
                <w:rFonts w:ascii="Arial" w:hAnsi="Arial"/>
                <w:sz w:val="20"/>
              </w:rPr>
              <w:t>Kiribati</w:t>
            </w:r>
          </w:p>
          <w:p w:rsidR="00BB3832" w:rsidRPr="00313CF6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 w:rsidRPr="00313CF6">
              <w:rPr>
                <w:rFonts w:ascii="Arial" w:hAnsi="Arial"/>
                <w:sz w:val="20"/>
              </w:rPr>
              <w:t>Micronesia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1987-1989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1988-1999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1984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1983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1980-1986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1985-1985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2003-2012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2007-2012</w:t>
            </w:r>
          </w:p>
          <w:p w:rsidR="00BB3832" w:rsidRPr="00204548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</w:p>
        </w:tc>
        <w:tc>
          <w:tcPr>
            <w:tcW w:w="5769" w:type="dxa"/>
            <w:tcBorders>
              <w:top w:val="single" w:sz="4" w:space="0" w:color="auto"/>
            </w:tcBorders>
          </w:tcPr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Next five years’ average annual growth rate applied backward</w:t>
            </w:r>
            <w:r w:rsidRPr="00313CF6">
              <w:rPr>
                <w:rFonts w:ascii="Arial" w:hAnsi="Arial"/>
                <w:sz w:val="20"/>
                <w:vertAlign w:val="superscript"/>
              </w:rPr>
              <w:t xml:space="preserve"> a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BB3832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Pacific Small States Developing Islands values applied</w:t>
            </w:r>
          </w:p>
          <w:p w:rsidR="00BB3832" w:rsidRPr="00204548" w:rsidRDefault="00BB3832" w:rsidP="00AB5FB0">
            <w:pPr>
              <w:spacing w:line="24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B3832" w:rsidRPr="00696D13" w:rsidTr="00AB5FB0">
        <w:tc>
          <w:tcPr>
            <w:tcW w:w="10489" w:type="dxa"/>
            <w:gridSpan w:val="4"/>
            <w:tcBorders>
              <w:top w:val="single" w:sz="12" w:space="0" w:color="auto"/>
            </w:tcBorders>
          </w:tcPr>
          <w:p w:rsidR="00BB3832" w:rsidRPr="00A71A02" w:rsidRDefault="00BB3832" w:rsidP="00AB5FB0">
            <w:pPr>
              <w:spacing w:line="240" w:lineRule="auto"/>
              <w:rPr>
                <w:rFonts w:ascii="Arial" w:hAnsi="Arial"/>
                <w:sz w:val="18"/>
              </w:rPr>
            </w:pPr>
            <w:proofErr w:type="gramStart"/>
            <w:r w:rsidRPr="00313CF6">
              <w:rPr>
                <w:rFonts w:ascii="Arial" w:hAnsi="Arial"/>
                <w:sz w:val="18"/>
                <w:vertAlign w:val="superscript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Complete </w:t>
            </w:r>
            <w:r w:rsidRPr="00A71A02">
              <w:rPr>
                <w:rFonts w:ascii="Arial" w:hAnsi="Arial"/>
                <w:sz w:val="18"/>
              </w:rPr>
              <w:t>CPI time-series have a sigmoid behavior</w:t>
            </w:r>
            <w:r>
              <w:rPr>
                <w:rFonts w:ascii="Arial" w:hAnsi="Arial"/>
                <w:sz w:val="18"/>
              </w:rPr>
              <w:t xml:space="preserve"> over the period considered</w:t>
            </w:r>
            <w:r w:rsidRPr="00A71A02">
              <w:rPr>
                <w:rFonts w:ascii="Arial" w:hAnsi="Arial"/>
                <w:sz w:val="18"/>
              </w:rPr>
              <w:t xml:space="preserve">. Thus we </w:t>
            </w:r>
            <w:r>
              <w:rPr>
                <w:rFonts w:ascii="Arial" w:hAnsi="Arial"/>
                <w:sz w:val="18"/>
              </w:rPr>
              <w:t xml:space="preserve">assumed </w:t>
            </w:r>
            <w:r w:rsidRPr="00A71A02">
              <w:rPr>
                <w:rFonts w:ascii="Arial" w:hAnsi="Arial"/>
                <w:sz w:val="18"/>
              </w:rPr>
              <w:t>that using the average growth rates would provide us with a reasonable way to estimate missing values</w:t>
            </w:r>
            <w:r>
              <w:rPr>
                <w:rFonts w:ascii="Arial" w:hAnsi="Arial"/>
                <w:sz w:val="18"/>
              </w:rPr>
              <w:t xml:space="preserve"> of incomplete time-series</w:t>
            </w:r>
            <w:r w:rsidRPr="00A71A02">
              <w:rPr>
                <w:rFonts w:ascii="Arial" w:hAnsi="Arial"/>
                <w:sz w:val="18"/>
              </w:rPr>
              <w:t xml:space="preserve">. In the cases of Comoros and Guinea, our CPI values are </w:t>
            </w:r>
            <w:r>
              <w:rPr>
                <w:rFonts w:ascii="Arial" w:hAnsi="Arial"/>
                <w:sz w:val="18"/>
              </w:rPr>
              <w:t xml:space="preserve">therefore </w:t>
            </w:r>
            <w:r w:rsidRPr="00A71A02">
              <w:rPr>
                <w:rFonts w:ascii="Arial" w:hAnsi="Arial"/>
                <w:sz w:val="18"/>
              </w:rPr>
              <w:t>likely over-estimated (i.e., under-estimates the effect of earlier years’ inflation on the 2012 EUR), as the time-series was not yet showing any inflexion point for the available years.</w:t>
            </w:r>
          </w:p>
        </w:tc>
      </w:tr>
    </w:tbl>
    <w:p w:rsidR="00B95164" w:rsidRDefault="00B95164"/>
    <w:sectPr w:rsidR="00B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2"/>
    <w:rsid w:val="00A37250"/>
    <w:rsid w:val="00A873B9"/>
    <w:rsid w:val="00B95164"/>
    <w:rsid w:val="00BB3832"/>
    <w:rsid w:val="00E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3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3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Le Manach</dc:creator>
  <cp:lastModifiedBy>Frederic Le Manach</cp:lastModifiedBy>
  <cp:revision>2</cp:revision>
  <dcterms:created xsi:type="dcterms:W3CDTF">2013-10-10T23:44:00Z</dcterms:created>
  <dcterms:modified xsi:type="dcterms:W3CDTF">2013-10-10T23:58:00Z</dcterms:modified>
</cp:coreProperties>
</file>