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A3" w:rsidRDefault="00CE2FA3" w:rsidP="00CE2FA3">
      <w:pPr>
        <w:jc w:val="center"/>
        <w:rPr>
          <w:rFonts w:ascii="Times New Roman" w:hAnsi="Times New Roman" w:cs="Times New Roman"/>
        </w:rPr>
      </w:pPr>
      <w:bookmarkStart w:id="0" w:name="_GoBack"/>
      <w:bookmarkEnd w:id="0"/>
      <w:r>
        <w:rPr>
          <w:rFonts w:ascii="Times New Roman" w:hAnsi="Times New Roman" w:cs="Times New Roman"/>
        </w:rPr>
        <w:t xml:space="preserve">Supplementary </w:t>
      </w:r>
      <w:r>
        <w:rPr>
          <w:rFonts w:ascii="Times New Roman" w:hAnsi="Times New Roman" w:cs="Times New Roman"/>
        </w:rPr>
        <w:t>Text S6:</w:t>
      </w:r>
      <w:r>
        <w:rPr>
          <w:rFonts w:ascii="Times New Roman" w:hAnsi="Times New Roman" w:cs="Times New Roman"/>
        </w:rPr>
        <w:t xml:space="preserve"> D</w:t>
      </w:r>
      <w:r w:rsidRPr="00A203B7">
        <w:rPr>
          <w:rFonts w:ascii="Times New Roman" w:hAnsi="Times New Roman" w:cs="Times New Roman"/>
        </w:rPr>
        <w:t>ivision of the public good</w:t>
      </w:r>
      <w:r>
        <w:rPr>
          <w:rFonts w:ascii="Times New Roman" w:hAnsi="Times New Roman" w:cs="Times New Roman"/>
        </w:rPr>
        <w:t xml:space="preserve"> in Study 3</w:t>
      </w:r>
    </w:p>
    <w:p w:rsidR="00CE2FA3" w:rsidRPr="00A203B7" w:rsidRDefault="00CE2FA3" w:rsidP="00CE2FA3">
      <w:pPr>
        <w:jc w:val="center"/>
        <w:rPr>
          <w:rFonts w:ascii="Times New Roman" w:hAnsi="Times New Roman" w:cs="Times New Roman"/>
        </w:rPr>
      </w:pPr>
    </w:p>
    <w:p w:rsidR="00CE2FA3" w:rsidRDefault="00CE2FA3" w:rsidP="00CE2FA3">
      <w:pPr>
        <w:ind w:firstLine="720"/>
        <w:rPr>
          <w:rFonts w:ascii="Times New Roman" w:hAnsi="Times New Roman" w:cs="Times New Roman"/>
        </w:rPr>
      </w:pPr>
      <w:r>
        <w:rPr>
          <w:rFonts w:ascii="Times New Roman" w:hAnsi="Times New Roman" w:cs="Times New Roman"/>
        </w:rPr>
        <w:t xml:space="preserve">In this section, we investigate factors affecting how the participant in the high-ranking role distributed the public good. Individuals who allocate resources on behalf of a group face a tension between two alternatives. On one hand, many people subscribe to the concept of equity, or the notion that one should be rewarded in proportion to their contributions to the group. On the other hand, many people also seek to maximize their own </w:t>
      </w:r>
      <w:proofErr w:type="gramStart"/>
      <w:r>
        <w:rPr>
          <w:rFonts w:ascii="Times New Roman" w:hAnsi="Times New Roman" w:cs="Times New Roman"/>
        </w:rPr>
        <w:t>rewards, which encourages</w:t>
      </w:r>
      <w:proofErr w:type="gramEnd"/>
      <w:r>
        <w:rPr>
          <w:rFonts w:ascii="Times New Roman" w:hAnsi="Times New Roman" w:cs="Times New Roman"/>
        </w:rPr>
        <w:t xml:space="preserve"> low contributions but high self-allocations (e.g., Schroeder et al 2003). </w:t>
      </w:r>
    </w:p>
    <w:p w:rsidR="00CE2FA3" w:rsidRDefault="00CE2FA3" w:rsidP="00CE2FA3">
      <w:pPr>
        <w:ind w:firstLine="720"/>
        <w:rPr>
          <w:rFonts w:ascii="Times New Roman" w:hAnsi="Times New Roman" w:cs="Times New Roman"/>
        </w:rPr>
      </w:pPr>
      <w:r>
        <w:rPr>
          <w:rFonts w:ascii="Times New Roman" w:hAnsi="Times New Roman" w:cs="Times New Roman"/>
        </w:rPr>
        <w:t xml:space="preserve">We focus on two variables: the proportion of the public good that the high-ranking individual allocated to </w:t>
      </w:r>
      <w:proofErr w:type="gramStart"/>
      <w:r>
        <w:rPr>
          <w:rFonts w:ascii="Times New Roman" w:hAnsi="Times New Roman" w:cs="Times New Roman"/>
        </w:rPr>
        <w:t>themselves</w:t>
      </w:r>
      <w:proofErr w:type="gramEnd"/>
      <w:r>
        <w:rPr>
          <w:rFonts w:ascii="Times New Roman" w:hAnsi="Times New Roman" w:cs="Times New Roman"/>
        </w:rPr>
        <w:t xml:space="preserve">, and the proportion of the contributions to the public good the high-ranking individual made. We call this latter measure the “high-ranking equitable share” (HRES), because it is also the proportion of the public good that the high-ranking individual would receive in a purely equitable system in which allocations are proportional to contributions. </w:t>
      </w:r>
    </w:p>
    <w:p w:rsidR="00CE2FA3" w:rsidRDefault="00CE2FA3" w:rsidP="00CE2FA3">
      <w:pPr>
        <w:rPr>
          <w:rFonts w:ascii="Times New Roman" w:hAnsi="Times New Roman" w:cs="Times New Roman"/>
        </w:rPr>
      </w:pPr>
      <w:r>
        <w:rPr>
          <w:rFonts w:ascii="Times New Roman" w:hAnsi="Times New Roman" w:cs="Times New Roman"/>
        </w:rPr>
        <w:tab/>
        <w:t>To provide an overview of the pattern of contribution and allocations, Figure S2 shows the average proportion of the public good that the high-ranking participant allocated to each individual, by role. The figure also shows each individual’s proportional contribution to the public good, which corresponds to their “equitable share”. As can be seen in Figure S2, the high-ranking individual tended to allocate 57% of the public good to themselves, while contributing about 37% of the input to the public good. The difference between the high-ranking individual’s actual and equitable share is significant greater than zero (</w:t>
      </w:r>
      <w:r w:rsidRPr="00503E53">
        <w:rPr>
          <w:rFonts w:ascii="Times New Roman" w:hAnsi="Times New Roman" w:cs="Times New Roman"/>
          <w:i/>
        </w:rPr>
        <w:t>b</w:t>
      </w:r>
      <w:r>
        <w:rPr>
          <w:rFonts w:ascii="Times New Roman" w:hAnsi="Times New Roman" w:cs="Times New Roman"/>
        </w:rPr>
        <w:t xml:space="preserve"> = .20, </w:t>
      </w:r>
      <w:r w:rsidRPr="00503E53">
        <w:rPr>
          <w:rFonts w:ascii="Times New Roman" w:hAnsi="Times New Roman" w:cs="Times New Roman"/>
          <w:i/>
        </w:rPr>
        <w:t>z</w:t>
      </w:r>
      <w:r>
        <w:rPr>
          <w:rFonts w:ascii="Times New Roman" w:hAnsi="Times New Roman" w:cs="Times New Roman"/>
        </w:rPr>
        <w:t xml:space="preserve"> =</w:t>
      </w:r>
      <w:r w:rsidRPr="00291462">
        <w:rPr>
          <w:rFonts w:ascii="Times New Roman" w:hAnsi="Times New Roman" w:cs="Times New Roman"/>
        </w:rPr>
        <w:t xml:space="preserve"> 7.70</w:t>
      </w:r>
      <w:r>
        <w:rPr>
          <w:rFonts w:ascii="Times New Roman" w:hAnsi="Times New Roman" w:cs="Times New Roman"/>
        </w:rPr>
        <w:t xml:space="preserve">, </w:t>
      </w:r>
      <w:r w:rsidRPr="00503E53">
        <w:rPr>
          <w:rFonts w:ascii="Times New Roman" w:hAnsi="Times New Roman" w:cs="Times New Roman"/>
          <w:i/>
        </w:rPr>
        <w:t>p</w:t>
      </w:r>
      <w:r>
        <w:rPr>
          <w:rFonts w:ascii="Times New Roman" w:hAnsi="Times New Roman" w:cs="Times New Roman"/>
        </w:rPr>
        <w:t xml:space="preserve"> </w:t>
      </w:r>
      <w:proofErr w:type="gramStart"/>
      <w:r>
        <w:rPr>
          <w:rFonts w:ascii="Times New Roman" w:hAnsi="Times New Roman" w:cs="Times New Roman"/>
        </w:rPr>
        <w:t>&lt;  0.001</w:t>
      </w:r>
      <w:proofErr w:type="gramEnd"/>
      <w:r>
        <w:rPr>
          <w:rFonts w:ascii="Times New Roman" w:hAnsi="Times New Roman" w:cs="Times New Roman"/>
        </w:rPr>
        <w:t>, tested using an intercept-only model with this difference as the dependent measure).</w:t>
      </w:r>
      <w:r w:rsidRPr="00291462">
        <w:rPr>
          <w:rFonts w:ascii="Times New Roman" w:hAnsi="Times New Roman" w:cs="Times New Roman"/>
        </w:rPr>
        <w:t xml:space="preserve"> </w:t>
      </w:r>
      <w:r>
        <w:rPr>
          <w:rFonts w:ascii="Times New Roman" w:hAnsi="Times New Roman" w:cs="Times New Roman"/>
        </w:rPr>
        <w:t>Thus, individuals in high-ranking roles reward themselves out of proportion to their inputs. In contrast, high-ranking individuals tend to under-reward those of low rank. Low-ranking participants one and two (numbered arbitrarily) tended to contribute 30-33% of the input to the public good, and receive about 20-22% of the resulting public good</w:t>
      </w:r>
      <w:r w:rsidRPr="00BA6180">
        <w:rPr>
          <w:rFonts w:ascii="Times New Roman" w:hAnsi="Times New Roman" w:cs="Times New Roman"/>
        </w:rPr>
        <w:t xml:space="preserve"> </w:t>
      </w:r>
      <w:r>
        <w:rPr>
          <w:rFonts w:ascii="Times New Roman" w:hAnsi="Times New Roman" w:cs="Times New Roman"/>
        </w:rPr>
        <w:t xml:space="preserve">from the high-ranking individual (the differences between actual and equitable shares for both low-ranking participants are significant at </w:t>
      </w:r>
      <w:r w:rsidRPr="00A203B7">
        <w:rPr>
          <w:rFonts w:ascii="Times New Roman" w:hAnsi="Times New Roman" w:cs="Times New Roman"/>
          <w:i/>
        </w:rPr>
        <w:t>p</w:t>
      </w:r>
      <w:r>
        <w:rPr>
          <w:rFonts w:ascii="Times New Roman" w:hAnsi="Times New Roman" w:cs="Times New Roman"/>
        </w:rPr>
        <w:t xml:space="preserve"> &lt; 0.001). </w:t>
      </w:r>
    </w:p>
    <w:p w:rsidR="00CE2FA3" w:rsidRDefault="00CE2FA3" w:rsidP="00CE2FA3">
      <w:pPr>
        <w:rPr>
          <w:rFonts w:ascii="Times New Roman" w:hAnsi="Times New Roman" w:cs="Times New Roman"/>
        </w:rPr>
      </w:pPr>
      <w:r>
        <w:rPr>
          <w:rFonts w:ascii="Times New Roman" w:hAnsi="Times New Roman" w:cs="Times New Roman"/>
        </w:rPr>
        <w:tab/>
        <w:t xml:space="preserve">To further explore the relationship between the amount the high-ranking participant allocates to self, and their equitable share, we estimated a multilevel model with the proportion the high-ranking participant allocates to self as the dependent measure, and the high-ranking participant’s equitable share as an independent variable. We also include five controls: the average amount the high-ranking participant contributed during the study, the total amount contributed by the group that round, the high-ranking participant’s investment in manipulation as a proportion of their endowment that round, the perceived threat that round, and round. The results are shown in Table S4. </w:t>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Pr>
          <w:noProof/>
          <w:lang w:val="en-CA" w:eastAsia="en-CA"/>
        </w:rPr>
        <w:lastRenderedPageBreak/>
        <w:drawing>
          <wp:inline distT="0" distB="0" distL="0" distR="0" wp14:anchorId="52E44BCE" wp14:editId="1B3D05B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2FA3" w:rsidRDefault="00CE2FA3" w:rsidP="00CE2FA3">
      <w:pPr>
        <w:rPr>
          <w:rFonts w:ascii="Times New Roman" w:hAnsi="Times New Roman" w:cs="Times New Roman"/>
        </w:rPr>
      </w:pPr>
      <w:r>
        <w:rPr>
          <w:rFonts w:ascii="Times New Roman" w:hAnsi="Times New Roman" w:cs="Times New Roman"/>
        </w:rPr>
        <w:t xml:space="preserve">Figure S2: Mean proportion (± </w:t>
      </w:r>
      <w:proofErr w:type="spellStart"/>
      <w:proofErr w:type="gramStart"/>
      <w:r>
        <w:rPr>
          <w:rFonts w:ascii="Times New Roman" w:hAnsi="Times New Roman" w:cs="Times New Roman"/>
        </w:rPr>
        <w:t>s.e</w:t>
      </w:r>
      <w:proofErr w:type="gramEnd"/>
      <w:r>
        <w:rPr>
          <w:rFonts w:ascii="Times New Roman" w:hAnsi="Times New Roman" w:cs="Times New Roman"/>
        </w:rPr>
        <w:t>.</w:t>
      </w:r>
      <w:proofErr w:type="spellEnd"/>
      <w:r>
        <w:rPr>
          <w:rFonts w:ascii="Times New Roman" w:hAnsi="Times New Roman" w:cs="Times New Roman"/>
        </w:rPr>
        <w:t xml:space="preserve">) of the public good in Study 3 that was provided (light bars) and received (dark bars) by the high ranking participant and the two low ranking participants (it was arbitrarily determined which low ranking participant was assigned to be 1 or 2). High-ranking participants received a larger share than they provided, whereas low ranking participants received smaller shares than was equitable. </w:t>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sidRPr="00255832">
        <w:rPr>
          <w:rFonts w:ascii="Times New Roman" w:hAnsi="Times New Roman" w:cs="Times New Roman"/>
        </w:rPr>
        <w:tab/>
        <w:t xml:space="preserve">In </w:t>
      </w:r>
      <w:r>
        <w:rPr>
          <w:rFonts w:ascii="Times New Roman" w:hAnsi="Times New Roman" w:cs="Times New Roman"/>
        </w:rPr>
        <w:t>T</w:t>
      </w:r>
      <w:r w:rsidRPr="00255832">
        <w:rPr>
          <w:rFonts w:ascii="Times New Roman" w:hAnsi="Times New Roman" w:cs="Times New Roman"/>
        </w:rPr>
        <w:t>able S</w:t>
      </w:r>
      <w:r>
        <w:rPr>
          <w:rFonts w:ascii="Times New Roman" w:hAnsi="Times New Roman" w:cs="Times New Roman"/>
        </w:rPr>
        <w:t>4</w:t>
      </w:r>
      <w:r w:rsidRPr="00255832">
        <w:rPr>
          <w:rFonts w:ascii="Times New Roman" w:hAnsi="Times New Roman" w:cs="Times New Roman"/>
        </w:rPr>
        <w:t>, the intercept (b = 0.</w:t>
      </w:r>
      <w:r w:rsidRPr="005B164C">
        <w:rPr>
          <w:rFonts w:ascii="Times New Roman" w:hAnsi="Times New Roman" w:cs="Times New Roman"/>
        </w:rPr>
        <w:t>49</w:t>
      </w:r>
      <w:r w:rsidRPr="008B4BDE">
        <w:rPr>
          <w:rFonts w:ascii="Times New Roman" w:hAnsi="Times New Roman" w:cs="Times New Roman"/>
        </w:rPr>
        <w:t xml:space="preserve">, z = 8.26, p &lt; 0.0001) indicates that, controlling for round and average contributions, </w:t>
      </w:r>
      <w:r>
        <w:rPr>
          <w:rFonts w:ascii="Times New Roman" w:hAnsi="Times New Roman" w:cs="Times New Roman"/>
        </w:rPr>
        <w:t xml:space="preserve">high-ranking </w:t>
      </w:r>
      <w:r w:rsidRPr="000F3B73">
        <w:rPr>
          <w:rFonts w:ascii="Times New Roman" w:hAnsi="Times New Roman" w:cs="Times New Roman"/>
        </w:rPr>
        <w:t>individuals tend to allocate about 4</w:t>
      </w:r>
      <w:r>
        <w:rPr>
          <w:rFonts w:ascii="Times New Roman" w:hAnsi="Times New Roman" w:cs="Times New Roman"/>
        </w:rPr>
        <w:t>9</w:t>
      </w:r>
      <w:r w:rsidRPr="000F3B73">
        <w:rPr>
          <w:rFonts w:ascii="Times New Roman" w:hAnsi="Times New Roman" w:cs="Times New Roman"/>
        </w:rPr>
        <w:t xml:space="preserve">% of the public good to themselves, when their own equitable share is zero. The positive and significant equitable share measure indicates that, net of controls, </w:t>
      </w:r>
      <w:r>
        <w:rPr>
          <w:rFonts w:ascii="Times New Roman" w:hAnsi="Times New Roman" w:cs="Times New Roman"/>
        </w:rPr>
        <w:t xml:space="preserve">high-ranking </w:t>
      </w:r>
      <w:r w:rsidRPr="000F3B73">
        <w:rPr>
          <w:rFonts w:ascii="Times New Roman" w:hAnsi="Times New Roman" w:cs="Times New Roman"/>
        </w:rPr>
        <w:t>pa</w:t>
      </w:r>
      <w:r w:rsidRPr="00255832">
        <w:rPr>
          <w:rFonts w:ascii="Times New Roman" w:hAnsi="Times New Roman" w:cs="Times New Roman"/>
        </w:rPr>
        <w:t xml:space="preserve">rticipants tend to allocate </w:t>
      </w:r>
      <w:r>
        <w:rPr>
          <w:rFonts w:ascii="Times New Roman" w:hAnsi="Times New Roman" w:cs="Times New Roman"/>
        </w:rPr>
        <w:t xml:space="preserve">themselves </w:t>
      </w:r>
      <w:r w:rsidRPr="00255832">
        <w:rPr>
          <w:rFonts w:ascii="Times New Roman" w:hAnsi="Times New Roman" w:cs="Times New Roman"/>
        </w:rPr>
        <w:t>an additional half percentage point of the public good for every additional percentage of the input they contribute (b = 0.50, z = 15.11, p &lt; 0.0001).</w:t>
      </w:r>
      <w:r w:rsidRPr="00255832">
        <w:rPr>
          <w:rStyle w:val="FootnoteReference"/>
          <w:rFonts w:ascii="Times New Roman" w:hAnsi="Times New Roman" w:cs="Times New Roman"/>
        </w:rPr>
        <w:footnoteReference w:id="1"/>
      </w:r>
      <w:r w:rsidRPr="00255832">
        <w:rPr>
          <w:rFonts w:ascii="Times New Roman" w:hAnsi="Times New Roman" w:cs="Times New Roman"/>
        </w:rPr>
        <w:t xml:space="preserve"> </w:t>
      </w:r>
      <w:r w:rsidRPr="003D462D">
        <w:rPr>
          <w:rFonts w:ascii="Times New Roman" w:hAnsi="Times New Roman" w:cs="Times New Roman"/>
        </w:rPr>
        <w:t xml:space="preserve">That fact that the amount allocated to </w:t>
      </w:r>
      <w:proofErr w:type="spellStart"/>
      <w:r w:rsidRPr="003D462D">
        <w:rPr>
          <w:rFonts w:ascii="Times New Roman" w:hAnsi="Times New Roman" w:cs="Times New Roman"/>
        </w:rPr>
        <w:t>self increas</w:t>
      </w:r>
      <w:r w:rsidRPr="005B164C">
        <w:rPr>
          <w:rFonts w:ascii="Times New Roman" w:hAnsi="Times New Roman" w:cs="Times New Roman"/>
        </w:rPr>
        <w:t>es</w:t>
      </w:r>
      <w:proofErr w:type="spellEnd"/>
      <w:r w:rsidRPr="005B164C">
        <w:rPr>
          <w:rFonts w:ascii="Times New Roman" w:hAnsi="Times New Roman" w:cs="Times New Roman"/>
        </w:rPr>
        <w:t xml:space="preserve"> at a lower rate than the</w:t>
      </w:r>
      <w:r w:rsidRPr="008B4BDE">
        <w:rPr>
          <w:rFonts w:ascii="Times New Roman" w:hAnsi="Times New Roman" w:cs="Times New Roman"/>
        </w:rPr>
        <w:t xml:space="preserve"> equitable share means that, at high levels of relative contribution, the </w:t>
      </w:r>
      <w:r>
        <w:rPr>
          <w:rFonts w:ascii="Times New Roman" w:hAnsi="Times New Roman" w:cs="Times New Roman"/>
        </w:rPr>
        <w:t xml:space="preserve">high-ranking participants </w:t>
      </w:r>
      <w:r w:rsidRPr="008B4BDE">
        <w:rPr>
          <w:rFonts w:ascii="Times New Roman" w:hAnsi="Times New Roman" w:cs="Times New Roman"/>
        </w:rPr>
        <w:t xml:space="preserve">actually allocates less to self than what they would receive under an equitable share. However, this only occurs when the </w:t>
      </w:r>
      <w:r>
        <w:rPr>
          <w:rFonts w:ascii="Times New Roman" w:hAnsi="Times New Roman" w:cs="Times New Roman"/>
        </w:rPr>
        <w:t xml:space="preserve">high-ranking person </w:t>
      </w:r>
      <w:r w:rsidRPr="008B4BDE">
        <w:rPr>
          <w:rFonts w:ascii="Times New Roman" w:hAnsi="Times New Roman" w:cs="Times New Roman"/>
        </w:rPr>
        <w:t>is providing cl</w:t>
      </w:r>
      <w:r w:rsidRPr="000F3B73">
        <w:rPr>
          <w:rFonts w:ascii="Times New Roman" w:hAnsi="Times New Roman" w:cs="Times New Roman"/>
        </w:rPr>
        <w:t xml:space="preserve">ose to all of the input to the public good. </w:t>
      </w:r>
      <w:r w:rsidRPr="009A7421">
        <w:rPr>
          <w:rFonts w:ascii="Times New Roman" w:hAnsi="Times New Roman" w:cs="Times New Roman"/>
        </w:rPr>
        <w:t xml:space="preserve">The percent kept by the high-ranking members was </w:t>
      </w:r>
      <w:r>
        <w:rPr>
          <w:rFonts w:ascii="Times New Roman" w:hAnsi="Times New Roman" w:cs="Times New Roman"/>
        </w:rPr>
        <w:t xml:space="preserve">also </w:t>
      </w:r>
      <w:r w:rsidRPr="009A7421">
        <w:rPr>
          <w:rFonts w:ascii="Times New Roman" w:hAnsi="Times New Roman" w:cs="Times New Roman"/>
        </w:rPr>
        <w:t>negatively correlated with their average contributions, (</w:t>
      </w:r>
      <w:r w:rsidRPr="009A7421">
        <w:rPr>
          <w:rFonts w:ascii="Times New Roman" w:hAnsi="Times New Roman" w:cs="Times New Roman"/>
          <w:i/>
        </w:rPr>
        <w:t>b</w:t>
      </w:r>
      <w:r w:rsidRPr="009A7421">
        <w:rPr>
          <w:rFonts w:ascii="Times New Roman" w:hAnsi="Times New Roman" w:cs="Times New Roman"/>
        </w:rPr>
        <w:t xml:space="preserve"> = -.25, z = -2.08, p </w:t>
      </w:r>
      <w:proofErr w:type="gramStart"/>
      <w:r w:rsidRPr="009A7421">
        <w:rPr>
          <w:rFonts w:ascii="Times New Roman" w:hAnsi="Times New Roman" w:cs="Times New Roman"/>
        </w:rPr>
        <w:t>&lt;  0.037</w:t>
      </w:r>
      <w:proofErr w:type="gramEnd"/>
      <w:r w:rsidRPr="009A7421">
        <w:rPr>
          <w:rFonts w:ascii="Times New Roman" w:hAnsi="Times New Roman" w:cs="Times New Roman"/>
        </w:rPr>
        <w:t>), and positively correlated with round</w:t>
      </w:r>
      <w:r>
        <w:rPr>
          <w:rFonts w:ascii="Times New Roman" w:hAnsi="Times New Roman" w:cs="Times New Roman"/>
        </w:rPr>
        <w:t xml:space="preserve"> (b = .003, z =</w:t>
      </w:r>
      <w:r w:rsidRPr="00255832">
        <w:rPr>
          <w:rFonts w:ascii="Times New Roman" w:hAnsi="Times New Roman" w:cs="Times New Roman"/>
        </w:rPr>
        <w:t xml:space="preserve"> 2.70</w:t>
      </w:r>
      <w:r>
        <w:rPr>
          <w:rFonts w:ascii="Times New Roman" w:hAnsi="Times New Roman" w:cs="Times New Roman"/>
        </w:rPr>
        <w:t>,</w:t>
      </w:r>
      <w:r w:rsidRPr="00255832">
        <w:rPr>
          <w:rFonts w:ascii="Times New Roman" w:hAnsi="Times New Roman" w:cs="Times New Roman"/>
        </w:rPr>
        <w:t xml:space="preserve"> </w:t>
      </w:r>
      <w:r>
        <w:rPr>
          <w:rFonts w:ascii="Times New Roman" w:hAnsi="Times New Roman" w:cs="Times New Roman"/>
        </w:rPr>
        <w:t>p &lt;</w:t>
      </w:r>
      <w:r w:rsidRPr="00255832">
        <w:rPr>
          <w:rFonts w:ascii="Times New Roman" w:hAnsi="Times New Roman" w:cs="Times New Roman"/>
        </w:rPr>
        <w:t xml:space="preserve">  0.007</w:t>
      </w:r>
      <w:r>
        <w:rPr>
          <w:rFonts w:ascii="Times New Roman" w:hAnsi="Times New Roman" w:cs="Times New Roman"/>
        </w:rPr>
        <w:t>)</w:t>
      </w:r>
      <w:r w:rsidRPr="009A7421">
        <w:rPr>
          <w:rFonts w:ascii="Times New Roman" w:hAnsi="Times New Roman" w:cs="Times New Roman"/>
        </w:rPr>
        <w:t xml:space="preserve">, but not correlated with their own manipulation, the total group contributions, or the perceived threat level (all </w:t>
      </w:r>
      <w:proofErr w:type="spellStart"/>
      <w:r w:rsidRPr="009A7421">
        <w:rPr>
          <w:rFonts w:ascii="Times New Roman" w:hAnsi="Times New Roman" w:cs="Times New Roman"/>
          <w:i/>
        </w:rPr>
        <w:t>p</w:t>
      </w:r>
      <w:r w:rsidRPr="009A7421">
        <w:rPr>
          <w:rFonts w:ascii="Times New Roman" w:hAnsi="Times New Roman" w:cs="Times New Roman"/>
        </w:rPr>
        <w:t>s</w:t>
      </w:r>
      <w:proofErr w:type="spellEnd"/>
      <w:r w:rsidRPr="009A7421">
        <w:rPr>
          <w:rFonts w:ascii="Times New Roman" w:hAnsi="Times New Roman" w:cs="Times New Roman"/>
        </w:rPr>
        <w:t xml:space="preserve"> &gt; .17).</w:t>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Pr>
          <w:rFonts w:ascii="Times New Roman" w:hAnsi="Times New Roman" w:cs="Times New Roman"/>
        </w:rPr>
        <w:br w:type="page"/>
      </w:r>
    </w:p>
    <w:p w:rsidR="00CE2FA3" w:rsidRPr="00DF6B26" w:rsidRDefault="00CE2FA3" w:rsidP="00CE2FA3">
      <w:pPr>
        <w:rPr>
          <w:rFonts w:ascii="Times New Roman" w:hAnsi="Times New Roman" w:cs="Times New Roman"/>
        </w:rPr>
      </w:pPr>
      <w:r w:rsidRPr="00DF6B26">
        <w:rPr>
          <w:rFonts w:ascii="Times New Roman" w:hAnsi="Times New Roman" w:cs="Times New Roman"/>
        </w:rPr>
        <w:lastRenderedPageBreak/>
        <w:t>Table S</w:t>
      </w:r>
      <w:r>
        <w:rPr>
          <w:rFonts w:ascii="Times New Roman" w:hAnsi="Times New Roman" w:cs="Times New Roman"/>
        </w:rPr>
        <w:t>4</w:t>
      </w:r>
      <w:r w:rsidRPr="00DF6B26">
        <w:rPr>
          <w:rFonts w:ascii="Times New Roman" w:hAnsi="Times New Roman" w:cs="Times New Roman"/>
        </w:rPr>
        <w:t>. Multilevel model of the proportion of the public good high-ranking individuals allocated to self. Numbers represent the effect of a one unit change in the independent variables on the proportion the public good the high ranking individual kept each round. The model is based on 594 person-rounds, includ</w:t>
      </w:r>
      <w:r>
        <w:rPr>
          <w:rFonts w:ascii="Times New Roman" w:hAnsi="Times New Roman" w:cs="Times New Roman"/>
        </w:rPr>
        <w:t>ing</w:t>
      </w:r>
      <w:r w:rsidRPr="00DF6B26">
        <w:rPr>
          <w:rFonts w:ascii="Times New Roman" w:hAnsi="Times New Roman" w:cs="Times New Roman"/>
        </w:rPr>
        <w:t xml:space="preserve"> only high-ranking individuals in the Extra Power condition when the group did not go extinct (because only these individuals had an opportunity to allocate the public good). + </w:t>
      </w:r>
      <w:proofErr w:type="gramStart"/>
      <w:r w:rsidRPr="00DF6B26">
        <w:rPr>
          <w:rFonts w:ascii="Times New Roman" w:hAnsi="Times New Roman" w:cs="Times New Roman"/>
          <w:i/>
        </w:rPr>
        <w:t>p</w:t>
      </w:r>
      <w:proofErr w:type="gramEnd"/>
      <w:r w:rsidRPr="00DF6B26">
        <w:rPr>
          <w:rFonts w:ascii="Times New Roman" w:hAnsi="Times New Roman" w:cs="Times New Roman"/>
        </w:rPr>
        <w:t xml:space="preserve"> &lt; 0.10; </w:t>
      </w:r>
      <w:r w:rsidRPr="00DF6B26">
        <w:rPr>
          <w:rFonts w:ascii="Times New Roman" w:hAnsi="Times New Roman" w:cs="Times New Roman"/>
          <w:szCs w:val="20"/>
        </w:rPr>
        <w:t xml:space="preserve">* </w:t>
      </w:r>
      <w:r w:rsidRPr="00DF6B26">
        <w:rPr>
          <w:rFonts w:ascii="Times New Roman" w:hAnsi="Times New Roman" w:cs="Times New Roman"/>
          <w:i/>
          <w:szCs w:val="20"/>
        </w:rPr>
        <w:t>p</w:t>
      </w:r>
      <w:r w:rsidRPr="00DF6B26">
        <w:rPr>
          <w:rFonts w:ascii="Times New Roman" w:hAnsi="Times New Roman" w:cs="Times New Roman"/>
          <w:szCs w:val="20"/>
        </w:rPr>
        <w:t xml:space="preserve"> &lt; .05; ** </w:t>
      </w:r>
      <w:r w:rsidRPr="00DF6B26">
        <w:rPr>
          <w:rFonts w:ascii="Times New Roman" w:hAnsi="Times New Roman" w:cs="Times New Roman"/>
          <w:i/>
          <w:szCs w:val="20"/>
        </w:rPr>
        <w:t>p</w:t>
      </w:r>
      <w:r w:rsidRPr="00DF6B26">
        <w:rPr>
          <w:rFonts w:ascii="Times New Roman" w:hAnsi="Times New Roman" w:cs="Times New Roman"/>
          <w:szCs w:val="20"/>
        </w:rPr>
        <w:t xml:space="preserve"> &lt; .01</w:t>
      </w:r>
    </w:p>
    <w:tbl>
      <w:tblPr>
        <w:tblW w:w="7320" w:type="dxa"/>
        <w:tblInd w:w="93" w:type="dxa"/>
        <w:tblLook w:val="04A0" w:firstRow="1" w:lastRow="0" w:firstColumn="1" w:lastColumn="0" w:noHBand="0" w:noVBand="1"/>
      </w:tblPr>
      <w:tblGrid>
        <w:gridCol w:w="1700"/>
        <w:gridCol w:w="3280"/>
        <w:gridCol w:w="2340"/>
      </w:tblGrid>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Proportion</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Fixed Effects</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 Allocated to Self</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High-Ranking</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0.50**</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Equitable Share</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w:t>
            </w:r>
            <w:r w:rsidRPr="006173E3">
              <w:rPr>
                <w:rFonts w:ascii="Times New Roman" w:eastAsia="Times New Roman" w:hAnsi="Times New Roman" w:cs="Times New Roman"/>
              </w:rPr>
              <w:t>0.03</w:t>
            </w:r>
            <w:r>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Total Group</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0.00</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Contributions</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w:t>
            </w:r>
            <w:r w:rsidRPr="006173E3">
              <w:rPr>
                <w:rFonts w:ascii="Times New Roman" w:eastAsia="Times New Roman" w:hAnsi="Times New Roman" w:cs="Times New Roman"/>
              </w:rPr>
              <w:t>0.00</w:t>
            </w:r>
            <w:r>
              <w:rPr>
                <w:rFonts w:ascii="Times New Roman" w:eastAsia="Times New Roman" w:hAnsi="Times New Roman" w:cs="Times New Roman"/>
              </w:rPr>
              <w:t>)</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Proportion of Endowment </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-0.16</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Invested in Manipulation</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w:t>
            </w:r>
            <w:r w:rsidRPr="006173E3">
              <w:rPr>
                <w:rFonts w:ascii="Times New Roman" w:eastAsia="Times New Roman" w:hAnsi="Times New Roman" w:cs="Times New Roman"/>
              </w:rPr>
              <w:t>0.29</w:t>
            </w:r>
            <w:r>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Average Proportion of </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-2.46*</w:t>
            </w:r>
            <w:r w:rsidRPr="006173E3">
              <w:rPr>
                <w:rFonts w:ascii="Times New Roman" w:eastAsia="Times New Roman" w:hAnsi="Times New Roman" w:cs="Times New Roman"/>
              </w:rPr>
              <w:t> </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Endowment Contributed</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-0.12</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Perceived</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0.00</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Threat</w:t>
            </w:r>
          </w:p>
        </w:tc>
        <w:tc>
          <w:tcPr>
            <w:tcW w:w="2340" w:type="dxa"/>
            <w:tcBorders>
              <w:top w:val="nil"/>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0.00</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Round</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0.003**</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w:t>
            </w:r>
            <w:r w:rsidRPr="006173E3">
              <w:rPr>
                <w:rFonts w:ascii="Times New Roman" w:eastAsia="Times New Roman" w:hAnsi="Times New Roman" w:cs="Times New Roman"/>
              </w:rPr>
              <w:t>0.00</w:t>
            </w:r>
            <w:r>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right w:val="nil"/>
            </w:tcBorders>
            <w:shd w:val="clear" w:color="auto" w:fill="auto"/>
            <w:noWrap/>
            <w:vAlign w:val="bottom"/>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right w:val="single" w:sz="4" w:space="0" w:color="auto"/>
            </w:tcBorders>
            <w:shd w:val="clear" w:color="auto" w:fill="auto"/>
            <w:noWrap/>
            <w:vAlign w:val="bottom"/>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Constant</w:t>
            </w:r>
          </w:p>
        </w:tc>
        <w:tc>
          <w:tcPr>
            <w:tcW w:w="2340" w:type="dxa"/>
            <w:tcBorders>
              <w:top w:val="single" w:sz="4" w:space="0" w:color="auto"/>
              <w:left w:val="nil"/>
              <w:right w:val="single" w:sz="4" w:space="0" w:color="auto"/>
            </w:tcBorders>
            <w:shd w:val="clear" w:color="auto" w:fill="auto"/>
            <w:noWrap/>
            <w:vAlign w:val="bottom"/>
          </w:tcPr>
          <w:p w:rsidR="00CE2FA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0.49</w:t>
            </w:r>
            <w:r w:rsidRPr="006173E3">
              <w:rPr>
                <w:rFonts w:ascii="Times New Roman" w:eastAsia="Times New Roman" w:hAnsi="Times New Roman" w:cs="Times New Roman"/>
              </w:rPr>
              <w:t>**</w:t>
            </w:r>
          </w:p>
        </w:tc>
      </w:tr>
      <w:tr w:rsidR="00CE2FA3" w:rsidRPr="006173E3" w:rsidTr="005B2298">
        <w:trPr>
          <w:trHeight w:val="300"/>
        </w:trPr>
        <w:tc>
          <w:tcPr>
            <w:tcW w:w="1700" w:type="dxa"/>
            <w:tcBorders>
              <w:left w:val="single" w:sz="4" w:space="0" w:color="auto"/>
              <w:bottom w:val="single" w:sz="4" w:space="0" w:color="auto"/>
              <w:right w:val="nil"/>
            </w:tcBorders>
            <w:shd w:val="clear" w:color="auto" w:fill="auto"/>
            <w:noWrap/>
            <w:vAlign w:val="bottom"/>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left w:val="single" w:sz="4" w:space="0" w:color="auto"/>
              <w:bottom w:val="single" w:sz="4" w:space="0" w:color="auto"/>
              <w:right w:val="single" w:sz="4" w:space="0" w:color="auto"/>
            </w:tcBorders>
            <w:shd w:val="clear" w:color="auto" w:fill="auto"/>
            <w:noWrap/>
            <w:vAlign w:val="bottom"/>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340" w:type="dxa"/>
            <w:tcBorders>
              <w:left w:val="nil"/>
              <w:bottom w:val="single" w:sz="4" w:space="0" w:color="auto"/>
              <w:right w:val="single" w:sz="4" w:space="0" w:color="auto"/>
            </w:tcBorders>
            <w:shd w:val="clear" w:color="auto" w:fill="auto"/>
            <w:noWrap/>
            <w:vAlign w:val="bottom"/>
          </w:tcPr>
          <w:p w:rsidR="00CE2FA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w:t>
            </w:r>
            <w:r w:rsidRPr="006173E3">
              <w:rPr>
                <w:rFonts w:ascii="Times New Roman" w:eastAsia="Times New Roman" w:hAnsi="Times New Roman" w:cs="Times New Roman"/>
              </w:rPr>
              <w:t>0.06</w:t>
            </w:r>
            <w:r>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Random Effects</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Individual-level </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0.18</w:t>
            </w:r>
            <w:r w:rsidRPr="006173E3">
              <w:rPr>
                <w:rFonts w:ascii="Times New Roman" w:eastAsia="Times New Roman" w:hAnsi="Times New Roman" w:cs="Times New Roman"/>
              </w:rPr>
              <w:t>**</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random errors</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-0.02</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Group-level </w:t>
            </w:r>
          </w:p>
        </w:tc>
        <w:tc>
          <w:tcPr>
            <w:tcW w:w="2340"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0.08</w:t>
            </w:r>
            <w:r w:rsidRPr="006173E3">
              <w:rPr>
                <w:rFonts w:ascii="Times New Roman" w:eastAsia="Times New Roman" w:hAnsi="Times New Roman" w:cs="Times New Roman"/>
              </w:rPr>
              <w:t>*</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random errors</w:t>
            </w:r>
          </w:p>
        </w:tc>
        <w:tc>
          <w:tcPr>
            <w:tcW w:w="2340"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-0.03</w:t>
            </w:r>
          </w:p>
        </w:tc>
      </w:tr>
    </w:tbl>
    <w:p w:rsidR="00CE2FA3" w:rsidRDefault="00CE2FA3" w:rsidP="00CE2FA3"/>
    <w:p w:rsidR="00CE2FA3" w:rsidRDefault="00CE2FA3" w:rsidP="00CE2FA3">
      <w:pPr>
        <w:rPr>
          <w:rFonts w:ascii="Times New Roman" w:hAnsi="Times New Roman" w:cs="Times New Roman"/>
        </w:rPr>
      </w:pPr>
    </w:p>
    <w:p w:rsidR="00CE2FA3" w:rsidRDefault="00CE2FA3" w:rsidP="00CE2FA3">
      <w:pPr>
        <w:ind w:firstLine="720"/>
        <w:rPr>
          <w:rFonts w:ascii="Times New Roman" w:hAnsi="Times New Roman" w:cs="Times New Roman"/>
        </w:rPr>
      </w:pPr>
      <w:r>
        <w:rPr>
          <w:rFonts w:ascii="Times New Roman" w:hAnsi="Times New Roman" w:cs="Times New Roman"/>
        </w:rPr>
        <w:t xml:space="preserve">Figure S3 shows the proportion of the public good the high-ranking participant allocated to self, as a function of the proportion they invested in the public good. For comparison, we also include a line indicating the high-ranking participant’s equitable share. In general, high-ranking participants tend to allocate to themselves more than their equitable share. However, when the high-ranking participant provides 81-90% of the public good, they tend to reward themselves at a level roughly equal to their input. When high-ranking participants provide more than 90% of the public good, they tend to allocate approximately 77% of the public good to themselves. </w:t>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Pr>
          <w:noProof/>
          <w:lang w:val="en-CA" w:eastAsia="en-CA"/>
        </w:rPr>
        <w:lastRenderedPageBreak/>
        <w:drawing>
          <wp:inline distT="0" distB="0" distL="0" distR="0" wp14:anchorId="0F100157" wp14:editId="74101642">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Pr>
          <w:rFonts w:ascii="Times New Roman" w:hAnsi="Times New Roman" w:cs="Times New Roman"/>
        </w:rPr>
        <w:t>Figure S3. Proportion of the public good in Study 3 claimed by high-ranking participants (solid line) as a function of the proportion of the public good they themselves provided. The dotted line represents an equitable share based on their contributions.</w:t>
      </w:r>
    </w:p>
    <w:p w:rsidR="00CE2FA3" w:rsidRDefault="00CE2FA3" w:rsidP="00CE2FA3">
      <w:pPr>
        <w:rPr>
          <w:rFonts w:ascii="Times New Roman" w:hAnsi="Times New Roman" w:cs="Times New Roman"/>
        </w:rPr>
      </w:pPr>
    </w:p>
    <w:p w:rsidR="00CE2FA3" w:rsidRDefault="00CE2FA3" w:rsidP="00CE2FA3">
      <w:pPr>
        <w:ind w:firstLine="720"/>
        <w:rPr>
          <w:rFonts w:ascii="Times New Roman" w:hAnsi="Times New Roman" w:cs="Times New Roman"/>
        </w:rPr>
      </w:pPr>
    </w:p>
    <w:p w:rsidR="00CE2FA3" w:rsidRPr="00022135" w:rsidRDefault="00CE2FA3" w:rsidP="00CE2FA3">
      <w:pPr>
        <w:rPr>
          <w:rFonts w:ascii="Times New Roman" w:hAnsi="Times New Roman" w:cs="Times New Roman"/>
        </w:rPr>
      </w:pPr>
      <w:r>
        <w:rPr>
          <w:rFonts w:ascii="Times New Roman" w:hAnsi="Times New Roman" w:cs="Times New Roman"/>
        </w:rPr>
        <w:tab/>
        <w:t xml:space="preserve">We also examine how participants’ earnings differ by rank and power condition, shown in Table S5. </w:t>
      </w:r>
      <w:r w:rsidRPr="00022135">
        <w:rPr>
          <w:rFonts w:ascii="Times New Roman" w:hAnsi="Times New Roman" w:cs="Times New Roman"/>
        </w:rPr>
        <w:t>As a result of the unequal division of the public good, high-ranking members earn more in the Power Condition than the Baseline Condition (mean earnings L$81.</w:t>
      </w:r>
      <w:r>
        <w:rPr>
          <w:rFonts w:ascii="Times New Roman" w:hAnsi="Times New Roman" w:cs="Times New Roman"/>
        </w:rPr>
        <w:t>03</w:t>
      </w:r>
      <w:r w:rsidRPr="00022135">
        <w:rPr>
          <w:rFonts w:ascii="Times New Roman" w:hAnsi="Times New Roman" w:cs="Times New Roman"/>
        </w:rPr>
        <w:t xml:space="preserve"> vs. L$5</w:t>
      </w:r>
      <w:r>
        <w:rPr>
          <w:rFonts w:ascii="Times New Roman" w:hAnsi="Times New Roman" w:cs="Times New Roman"/>
        </w:rPr>
        <w:t>3</w:t>
      </w:r>
      <w:r w:rsidRPr="00022135">
        <w:rPr>
          <w:rFonts w:ascii="Times New Roman" w:hAnsi="Times New Roman" w:cs="Times New Roman"/>
        </w:rPr>
        <w:t>.</w:t>
      </w:r>
      <w:r>
        <w:rPr>
          <w:rFonts w:ascii="Times New Roman" w:hAnsi="Times New Roman" w:cs="Times New Roman"/>
        </w:rPr>
        <w:t>52</w:t>
      </w:r>
      <w:r w:rsidRPr="00022135">
        <w:rPr>
          <w:rFonts w:ascii="Times New Roman" w:hAnsi="Times New Roman" w:cs="Times New Roman"/>
        </w:rPr>
        <w:t>. whereas low-ranking members earned similar amounts across conditions (L$37.4</w:t>
      </w:r>
      <w:r>
        <w:rPr>
          <w:rFonts w:ascii="Times New Roman" w:hAnsi="Times New Roman" w:cs="Times New Roman"/>
        </w:rPr>
        <w:t>0</w:t>
      </w:r>
      <w:r w:rsidRPr="00022135">
        <w:rPr>
          <w:rFonts w:ascii="Times New Roman" w:hAnsi="Times New Roman" w:cs="Times New Roman"/>
        </w:rPr>
        <w:t xml:space="preserve"> vs. L$3</w:t>
      </w:r>
      <w:r>
        <w:rPr>
          <w:rFonts w:ascii="Times New Roman" w:hAnsi="Times New Roman" w:cs="Times New Roman"/>
        </w:rPr>
        <w:t>7</w:t>
      </w:r>
      <w:r w:rsidRPr="00022135">
        <w:rPr>
          <w:rFonts w:ascii="Times New Roman" w:hAnsi="Times New Roman" w:cs="Times New Roman"/>
        </w:rPr>
        <w:t>.</w:t>
      </w:r>
      <w:r>
        <w:rPr>
          <w:rFonts w:ascii="Times New Roman" w:hAnsi="Times New Roman" w:cs="Times New Roman"/>
        </w:rPr>
        <w:t>80</w:t>
      </w:r>
      <w:r w:rsidRPr="00022135">
        <w:rPr>
          <w:rFonts w:ascii="Times New Roman" w:hAnsi="Times New Roman" w:cs="Times New Roman"/>
        </w:rPr>
        <w:t xml:space="preserve">). </w:t>
      </w:r>
      <w:r>
        <w:rPr>
          <w:rFonts w:ascii="Times New Roman" w:hAnsi="Times New Roman" w:cs="Times New Roman"/>
        </w:rPr>
        <w:t xml:space="preserve">To test the significance of these trends, we estimated a multilevel model with earnings as the dependent measure, and Rank, Power, their interaction, and a control for round. The effect of rank indicates that high-ranking participants earn significantly more than low-ranking participants in the baseline </w:t>
      </w:r>
      <w:r w:rsidRPr="00EB2799">
        <w:rPr>
          <w:rFonts w:ascii="Times New Roman" w:hAnsi="Times New Roman" w:cs="Times New Roman"/>
        </w:rPr>
        <w:t>condition (</w:t>
      </w:r>
      <w:r w:rsidRPr="00266455">
        <w:rPr>
          <w:rFonts w:ascii="Times New Roman" w:hAnsi="Times New Roman" w:cs="Times New Roman"/>
        </w:rPr>
        <w:t xml:space="preserve">b = </w:t>
      </w:r>
      <w:r w:rsidRPr="009A7421">
        <w:rPr>
          <w:rFonts w:ascii="Times New Roman" w:hAnsi="Times New Roman" w:cs="Times New Roman"/>
        </w:rPr>
        <w:t>15.</w:t>
      </w:r>
      <w:r>
        <w:rPr>
          <w:rFonts w:ascii="Times New Roman" w:hAnsi="Times New Roman" w:cs="Times New Roman"/>
        </w:rPr>
        <w:t>37</w:t>
      </w:r>
      <w:r w:rsidRPr="009A7421">
        <w:rPr>
          <w:rFonts w:ascii="Times New Roman" w:hAnsi="Times New Roman" w:cs="Times New Roman"/>
        </w:rPr>
        <w:t>, z = 8.</w:t>
      </w:r>
      <w:r>
        <w:rPr>
          <w:rFonts w:ascii="Times New Roman" w:hAnsi="Times New Roman" w:cs="Times New Roman"/>
        </w:rPr>
        <w:t>68</w:t>
      </w:r>
      <w:r w:rsidRPr="009A7421">
        <w:rPr>
          <w:rFonts w:ascii="Times New Roman" w:hAnsi="Times New Roman" w:cs="Times New Roman"/>
        </w:rPr>
        <w:t>, p &lt; 0.0005)</w:t>
      </w:r>
      <w:r w:rsidRPr="00EB2799">
        <w:rPr>
          <w:rFonts w:ascii="Times New Roman" w:hAnsi="Times New Roman" w:cs="Times New Roman"/>
        </w:rPr>
        <w:t xml:space="preserve">. </w:t>
      </w:r>
      <w:r>
        <w:rPr>
          <w:rFonts w:ascii="Times New Roman" w:hAnsi="Times New Roman" w:cs="Times New Roman"/>
        </w:rPr>
        <w:t>The effect of the power manipulation indicates that low-ranking participants’ earnings do not vary significantly by condition (p &gt; .73). The Rank x Extra Power interaction is significant and positive, indicating that being in the high-ranking position has a greater effect on earnings in the power condition (b</w:t>
      </w:r>
      <w:r w:rsidRPr="00F639C8">
        <w:rPr>
          <w:rFonts w:ascii="Times New Roman" w:hAnsi="Times New Roman" w:cs="Times New Roman"/>
        </w:rPr>
        <w:t xml:space="preserve"> = </w:t>
      </w:r>
      <w:r w:rsidRPr="009A7421">
        <w:rPr>
          <w:rFonts w:ascii="Times New Roman" w:hAnsi="Times New Roman" w:cs="Times New Roman"/>
        </w:rPr>
        <w:t>28.</w:t>
      </w:r>
      <w:r>
        <w:rPr>
          <w:rFonts w:ascii="Times New Roman" w:hAnsi="Times New Roman" w:cs="Times New Roman"/>
        </w:rPr>
        <w:t>1</w:t>
      </w:r>
      <w:r w:rsidRPr="009A7421">
        <w:rPr>
          <w:rFonts w:ascii="Times New Roman" w:hAnsi="Times New Roman" w:cs="Times New Roman"/>
        </w:rPr>
        <w:t>9</w:t>
      </w:r>
      <w:r>
        <w:rPr>
          <w:rFonts w:ascii="Times New Roman" w:hAnsi="Times New Roman" w:cs="Times New Roman"/>
        </w:rPr>
        <w:t>,</w:t>
      </w:r>
      <w:r w:rsidRPr="009A7421">
        <w:rPr>
          <w:rFonts w:ascii="Times New Roman" w:hAnsi="Times New Roman" w:cs="Times New Roman"/>
        </w:rPr>
        <w:t xml:space="preserve"> z = 11.</w:t>
      </w:r>
      <w:r>
        <w:rPr>
          <w:rFonts w:ascii="Times New Roman" w:hAnsi="Times New Roman" w:cs="Times New Roman"/>
        </w:rPr>
        <w:t>41</w:t>
      </w:r>
      <w:r w:rsidRPr="009A7421">
        <w:rPr>
          <w:rFonts w:ascii="Times New Roman" w:hAnsi="Times New Roman" w:cs="Times New Roman"/>
        </w:rPr>
        <w:t xml:space="preserve"> p &lt; 0.0005).</w:t>
      </w:r>
      <w:r>
        <w:rPr>
          <w:rFonts w:ascii="Courier" w:hAnsi="Courier" w:cs="Times New Roman"/>
          <w:sz w:val="18"/>
          <w:szCs w:val="18"/>
        </w:rPr>
        <w:t xml:space="preserve"> </w:t>
      </w:r>
      <w:r w:rsidRPr="00022135">
        <w:rPr>
          <w:rFonts w:ascii="Times New Roman" w:hAnsi="Times New Roman" w:cs="Times New Roman"/>
        </w:rPr>
        <w:t>This suggests that granting additional powers to privileged members tends to increase inequity in earnings.</w:t>
      </w:r>
    </w:p>
    <w:p w:rsidR="00CE2FA3" w:rsidRDefault="00CE2FA3" w:rsidP="00CE2FA3">
      <w:pPr>
        <w:rPr>
          <w:rFonts w:ascii="Times New Roman" w:hAnsi="Times New Roman" w:cs="Times New Roman"/>
        </w:rPr>
      </w:pPr>
    </w:p>
    <w:p w:rsidR="00CE2FA3" w:rsidRDefault="00CE2FA3" w:rsidP="00CE2FA3">
      <w:pPr>
        <w:rPr>
          <w:rFonts w:ascii="Times New Roman" w:hAnsi="Times New Roman" w:cs="Times New Roman"/>
        </w:rPr>
      </w:pPr>
      <w:r>
        <w:rPr>
          <w:rFonts w:ascii="Times New Roman" w:hAnsi="Times New Roman" w:cs="Times New Roman"/>
        </w:rPr>
        <w:br w:type="page"/>
      </w:r>
    </w:p>
    <w:p w:rsidR="00CE2FA3" w:rsidRPr="00DF6B26" w:rsidRDefault="00CE2FA3" w:rsidP="00CE2FA3">
      <w:pPr>
        <w:rPr>
          <w:rFonts w:ascii="Times New Roman" w:hAnsi="Times New Roman" w:cs="Times New Roman"/>
        </w:rPr>
      </w:pPr>
      <w:r w:rsidRPr="00DF6B26">
        <w:rPr>
          <w:rFonts w:ascii="Times New Roman" w:hAnsi="Times New Roman" w:cs="Times New Roman"/>
        </w:rPr>
        <w:lastRenderedPageBreak/>
        <w:t>Table S</w:t>
      </w:r>
      <w:r>
        <w:rPr>
          <w:rFonts w:ascii="Times New Roman" w:hAnsi="Times New Roman" w:cs="Times New Roman"/>
        </w:rPr>
        <w:t>5</w:t>
      </w:r>
      <w:r w:rsidRPr="00DF6B26">
        <w:rPr>
          <w:rFonts w:ascii="Times New Roman" w:hAnsi="Times New Roman" w:cs="Times New Roman"/>
        </w:rPr>
        <w:t xml:space="preserve">. </w:t>
      </w:r>
      <w:proofErr w:type="gramStart"/>
      <w:r w:rsidRPr="00DF6B26">
        <w:rPr>
          <w:rFonts w:ascii="Times New Roman" w:hAnsi="Times New Roman" w:cs="Times New Roman"/>
        </w:rPr>
        <w:t xml:space="preserve">Multilevel model of </w:t>
      </w:r>
      <w:r>
        <w:rPr>
          <w:rFonts w:ascii="Times New Roman" w:hAnsi="Times New Roman" w:cs="Times New Roman"/>
        </w:rPr>
        <w:t>earnings per round predicted by rank, power condition, round, and the rank x power condition interaction</w:t>
      </w:r>
      <w:r w:rsidRPr="00DF6B26">
        <w:rPr>
          <w:rFonts w:ascii="Times New Roman" w:hAnsi="Times New Roman" w:cs="Times New Roman"/>
        </w:rPr>
        <w:t>.</w:t>
      </w:r>
      <w:proofErr w:type="gramEnd"/>
      <w:r w:rsidRPr="00DF6B26">
        <w:rPr>
          <w:rFonts w:ascii="Times New Roman" w:hAnsi="Times New Roman" w:cs="Times New Roman"/>
        </w:rPr>
        <w:t xml:space="preserve"> Numbers represent the effect of a one unit change in the independent variables on the </w:t>
      </w:r>
      <w:r>
        <w:rPr>
          <w:rFonts w:ascii="Times New Roman" w:hAnsi="Times New Roman" w:cs="Times New Roman"/>
        </w:rPr>
        <w:t>number of lab dollars earned that round</w:t>
      </w:r>
      <w:r w:rsidRPr="00DF6B26">
        <w:rPr>
          <w:rFonts w:ascii="Times New Roman" w:hAnsi="Times New Roman" w:cs="Times New Roman"/>
        </w:rPr>
        <w:t xml:space="preserve">. The model </w:t>
      </w:r>
      <w:r w:rsidRPr="00ED4006">
        <w:rPr>
          <w:rFonts w:ascii="Times New Roman" w:hAnsi="Times New Roman"/>
        </w:rPr>
        <w:t>is based on 4,320 observations (108 participants across 40 rounds).</w:t>
      </w:r>
      <w:r>
        <w:rPr>
          <w:rFonts w:ascii="Times New Roman" w:hAnsi="Times New Roman"/>
        </w:rPr>
        <w:t xml:space="preserve"> </w:t>
      </w:r>
      <w:r w:rsidRPr="00DF6B26">
        <w:rPr>
          <w:rFonts w:ascii="Times New Roman" w:hAnsi="Times New Roman" w:cs="Times New Roman"/>
        </w:rPr>
        <w:t xml:space="preserve">+ </w:t>
      </w:r>
      <w:proofErr w:type="gramStart"/>
      <w:r w:rsidRPr="00DF6B26">
        <w:rPr>
          <w:rFonts w:ascii="Times New Roman" w:hAnsi="Times New Roman" w:cs="Times New Roman"/>
          <w:i/>
        </w:rPr>
        <w:t>p</w:t>
      </w:r>
      <w:proofErr w:type="gramEnd"/>
      <w:r w:rsidRPr="00DF6B26">
        <w:rPr>
          <w:rFonts w:ascii="Times New Roman" w:hAnsi="Times New Roman" w:cs="Times New Roman"/>
        </w:rPr>
        <w:t xml:space="preserve"> &lt; 0.10; </w:t>
      </w:r>
      <w:r w:rsidRPr="00DF6B26">
        <w:rPr>
          <w:rFonts w:ascii="Times New Roman" w:hAnsi="Times New Roman" w:cs="Times New Roman"/>
          <w:szCs w:val="20"/>
        </w:rPr>
        <w:t xml:space="preserve">* </w:t>
      </w:r>
      <w:r w:rsidRPr="00DF6B26">
        <w:rPr>
          <w:rFonts w:ascii="Times New Roman" w:hAnsi="Times New Roman" w:cs="Times New Roman"/>
          <w:i/>
          <w:szCs w:val="20"/>
        </w:rPr>
        <w:t>p</w:t>
      </w:r>
      <w:r w:rsidRPr="00DF6B26">
        <w:rPr>
          <w:rFonts w:ascii="Times New Roman" w:hAnsi="Times New Roman" w:cs="Times New Roman"/>
          <w:szCs w:val="20"/>
        </w:rPr>
        <w:t xml:space="preserve"> &lt; .05; ** </w:t>
      </w:r>
      <w:r w:rsidRPr="00DF6B26">
        <w:rPr>
          <w:rFonts w:ascii="Times New Roman" w:hAnsi="Times New Roman" w:cs="Times New Roman"/>
          <w:i/>
          <w:szCs w:val="20"/>
        </w:rPr>
        <w:t>p</w:t>
      </w:r>
      <w:r w:rsidRPr="00DF6B26">
        <w:rPr>
          <w:rFonts w:ascii="Times New Roman" w:hAnsi="Times New Roman" w:cs="Times New Roman"/>
          <w:szCs w:val="20"/>
        </w:rPr>
        <w:t xml:space="preserve"> &lt; .01</w:t>
      </w:r>
    </w:p>
    <w:p w:rsidR="00CE2FA3" w:rsidRDefault="00CE2FA3" w:rsidP="00CE2FA3"/>
    <w:tbl>
      <w:tblPr>
        <w:tblpPr w:leftFromText="180" w:rightFromText="180" w:vertAnchor="text" w:tblpY="1"/>
        <w:tblOverlap w:val="never"/>
        <w:tblW w:w="7727" w:type="dxa"/>
        <w:tblInd w:w="93" w:type="dxa"/>
        <w:tblLook w:val="04A0" w:firstRow="1" w:lastRow="0" w:firstColumn="1" w:lastColumn="0" w:noHBand="0" w:noVBand="1"/>
      </w:tblPr>
      <w:tblGrid>
        <w:gridCol w:w="1700"/>
        <w:gridCol w:w="3280"/>
        <w:gridCol w:w="2747"/>
      </w:tblGrid>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747" w:type="dxa"/>
            <w:tcBorders>
              <w:top w:val="single" w:sz="4" w:space="0" w:color="auto"/>
              <w:left w:val="nil"/>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Fixed Effects</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747" w:type="dxa"/>
            <w:tcBorders>
              <w:top w:val="nil"/>
              <w:left w:val="nil"/>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 xml:space="preserve">Earnings </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Rank</w:t>
            </w:r>
          </w:p>
        </w:tc>
        <w:tc>
          <w:tcPr>
            <w:tcW w:w="2747" w:type="dxa"/>
            <w:tcBorders>
              <w:top w:val="nil"/>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15.</w:t>
            </w:r>
            <w:r>
              <w:rPr>
                <w:rFonts w:ascii="Times New Roman" w:eastAsia="Times New Roman" w:hAnsi="Times New Roman" w:cs="Times New Roman"/>
              </w:rPr>
              <w:t>37</w:t>
            </w:r>
            <w:r w:rsidRPr="002C66A6">
              <w:rPr>
                <w:rFonts w:ascii="Times New Roman" w:eastAsia="Times New Roman" w:hAnsi="Times New Roman" w:cs="Times New Roman"/>
              </w:rPr>
              <w:t>**</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747" w:type="dxa"/>
            <w:tcBorders>
              <w:top w:val="nil"/>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(1.77)</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C92004">
              <w:rPr>
                <w:rFonts w:ascii="Times New Roman" w:eastAsia="Times New Roman" w:hAnsi="Times New Roman" w:cs="Times New Roman"/>
              </w:rPr>
              <w:t>Extra Power</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-0.</w:t>
            </w:r>
            <w:r>
              <w:rPr>
                <w:rFonts w:ascii="Times New Roman" w:eastAsia="Times New Roman" w:hAnsi="Times New Roman" w:cs="Times New Roman"/>
              </w:rPr>
              <w:t>49</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C92004">
              <w:rPr>
                <w:rFonts w:ascii="Times New Roman" w:eastAsia="Times New Roman" w:hAnsi="Times New Roman" w:cs="Times New Roman"/>
              </w:rPr>
              <w:t>Condition</w:t>
            </w:r>
          </w:p>
        </w:tc>
        <w:tc>
          <w:tcPr>
            <w:tcW w:w="2747" w:type="dxa"/>
            <w:tcBorders>
              <w:top w:val="nil"/>
              <w:left w:val="nil"/>
              <w:bottom w:val="single" w:sz="4" w:space="0" w:color="auto"/>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(1.41)</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Round</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-0.0</w:t>
            </w:r>
            <w:r>
              <w:rPr>
                <w:rFonts w:ascii="Times New Roman" w:eastAsia="Times New Roman" w:hAnsi="Times New Roman" w:cs="Times New Roman"/>
              </w:rPr>
              <w:t>0</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747" w:type="dxa"/>
            <w:tcBorders>
              <w:top w:val="nil"/>
              <w:left w:val="nil"/>
              <w:bottom w:val="single" w:sz="4" w:space="0" w:color="auto"/>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(0.05)</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C92004">
              <w:rPr>
                <w:rFonts w:ascii="Times New Roman" w:eastAsia="Times New Roman" w:hAnsi="Times New Roman" w:cs="Times New Roman"/>
              </w:rPr>
              <w:t xml:space="preserve">Rank x Extra Power </w:t>
            </w:r>
          </w:p>
        </w:tc>
        <w:tc>
          <w:tcPr>
            <w:tcW w:w="2747" w:type="dxa"/>
            <w:tcBorders>
              <w:top w:val="nil"/>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28.</w:t>
            </w:r>
            <w:r>
              <w:rPr>
                <w:rFonts w:ascii="Times New Roman" w:eastAsia="Times New Roman" w:hAnsi="Times New Roman" w:cs="Times New Roman"/>
              </w:rPr>
              <w:t>1</w:t>
            </w:r>
            <w:r w:rsidRPr="002C66A6">
              <w:rPr>
                <w:rFonts w:ascii="Times New Roman" w:eastAsia="Times New Roman" w:hAnsi="Times New Roman" w:cs="Times New Roman"/>
              </w:rPr>
              <w:t>9**</w:t>
            </w:r>
          </w:p>
        </w:tc>
      </w:tr>
      <w:tr w:rsidR="00CE2FA3" w:rsidRPr="006173E3" w:rsidTr="005B2298">
        <w:trPr>
          <w:trHeight w:val="300"/>
        </w:trPr>
        <w:tc>
          <w:tcPr>
            <w:tcW w:w="1700" w:type="dxa"/>
            <w:tcBorders>
              <w:top w:val="nil"/>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C92004">
              <w:rPr>
                <w:rFonts w:ascii="Times New Roman" w:eastAsia="Times New Roman" w:hAnsi="Times New Roman" w:cs="Times New Roman"/>
              </w:rPr>
              <w:t>Condition </w:t>
            </w:r>
          </w:p>
        </w:tc>
        <w:tc>
          <w:tcPr>
            <w:tcW w:w="2747" w:type="dxa"/>
            <w:tcBorders>
              <w:top w:val="nil"/>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(2.47)</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C92004">
              <w:rPr>
                <w:rFonts w:ascii="Times New Roman" w:eastAsia="Times New Roman" w:hAnsi="Times New Roman" w:cs="Times New Roman"/>
              </w:rPr>
              <w:t>Constant</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3</w:t>
            </w:r>
            <w:r>
              <w:rPr>
                <w:rFonts w:ascii="Times New Roman" w:eastAsia="Times New Roman" w:hAnsi="Times New Roman" w:cs="Times New Roman"/>
              </w:rPr>
              <w:t>7</w:t>
            </w:r>
            <w:r w:rsidRPr="002C66A6">
              <w:rPr>
                <w:rFonts w:ascii="Times New Roman" w:eastAsia="Times New Roman" w:hAnsi="Times New Roman" w:cs="Times New Roman"/>
              </w:rPr>
              <w:t>.</w:t>
            </w:r>
            <w:r>
              <w:rPr>
                <w:rFonts w:ascii="Times New Roman" w:eastAsia="Times New Roman" w:hAnsi="Times New Roman" w:cs="Times New Roman"/>
              </w:rPr>
              <w:t>8</w:t>
            </w:r>
            <w:r w:rsidRPr="002C66A6">
              <w:rPr>
                <w:rFonts w:ascii="Times New Roman" w:eastAsia="Times New Roman" w:hAnsi="Times New Roman" w:cs="Times New Roman"/>
              </w:rPr>
              <w:t>3**</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p>
        </w:tc>
        <w:tc>
          <w:tcPr>
            <w:tcW w:w="2747" w:type="dxa"/>
            <w:tcBorders>
              <w:top w:val="nil"/>
              <w:left w:val="nil"/>
              <w:bottom w:val="single" w:sz="4" w:space="0" w:color="auto"/>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(2.4</w:t>
            </w:r>
            <w:r>
              <w:rPr>
                <w:rFonts w:ascii="Times New Roman" w:eastAsia="Times New Roman" w:hAnsi="Times New Roman" w:cs="Times New Roman"/>
              </w:rPr>
              <w:t>4</w:t>
            </w:r>
            <w:r w:rsidRPr="002C66A6">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Random Effects</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Individual-level </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2.</w:t>
            </w:r>
            <w:r>
              <w:rPr>
                <w:rFonts w:ascii="Times New Roman" w:eastAsia="Times New Roman" w:hAnsi="Times New Roman" w:cs="Times New Roman"/>
              </w:rPr>
              <w:t>61+</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random errors</w:t>
            </w:r>
          </w:p>
        </w:tc>
        <w:tc>
          <w:tcPr>
            <w:tcW w:w="2747" w:type="dxa"/>
            <w:tcBorders>
              <w:top w:val="nil"/>
              <w:left w:val="nil"/>
              <w:bottom w:val="single" w:sz="4" w:space="0" w:color="auto"/>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(1.3</w:t>
            </w:r>
            <w:r>
              <w:rPr>
                <w:rFonts w:ascii="Times New Roman" w:eastAsia="Times New Roman" w:hAnsi="Times New Roman" w:cs="Times New Roman"/>
              </w:rPr>
              <w:t>9</w:t>
            </w:r>
            <w:r w:rsidRPr="002C66A6">
              <w:rPr>
                <w:rFonts w:ascii="Times New Roman" w:eastAsia="Times New Roman" w:hAnsi="Times New Roman" w:cs="Times New Roman"/>
              </w:rPr>
              <w:t>)</w:t>
            </w:r>
          </w:p>
        </w:tc>
      </w:tr>
      <w:tr w:rsidR="00CE2FA3" w:rsidRPr="006173E3" w:rsidTr="005B2298">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single" w:sz="4" w:space="0" w:color="auto"/>
              <w:left w:val="single" w:sz="4" w:space="0" w:color="auto"/>
              <w:bottom w:val="nil"/>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xml:space="preserve">Group-level </w:t>
            </w:r>
          </w:p>
        </w:tc>
        <w:tc>
          <w:tcPr>
            <w:tcW w:w="2747" w:type="dxa"/>
            <w:tcBorders>
              <w:top w:val="single" w:sz="4" w:space="0" w:color="auto"/>
              <w:left w:val="nil"/>
              <w:bottom w:val="nil"/>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11.</w:t>
            </w:r>
            <w:r>
              <w:rPr>
                <w:rFonts w:ascii="Times New Roman" w:eastAsia="Times New Roman" w:hAnsi="Times New Roman" w:cs="Times New Roman"/>
              </w:rPr>
              <w:t>72</w:t>
            </w:r>
            <w:r w:rsidRPr="002C66A6">
              <w:rPr>
                <w:rFonts w:ascii="Times New Roman" w:eastAsia="Times New Roman" w:hAnsi="Times New Roman" w:cs="Times New Roman"/>
              </w:rPr>
              <w:t>**</w:t>
            </w:r>
          </w:p>
        </w:tc>
      </w:tr>
      <w:tr w:rsidR="00CE2FA3" w:rsidRPr="006173E3" w:rsidTr="005B2298">
        <w:trPr>
          <w:trHeight w:val="300"/>
        </w:trPr>
        <w:tc>
          <w:tcPr>
            <w:tcW w:w="1700" w:type="dxa"/>
            <w:tcBorders>
              <w:top w:val="nil"/>
              <w:left w:val="single" w:sz="4" w:space="0" w:color="auto"/>
              <w:bottom w:val="single" w:sz="4" w:space="0" w:color="auto"/>
              <w:right w:val="nil"/>
            </w:tcBorders>
            <w:shd w:val="clear" w:color="auto" w:fill="auto"/>
            <w:noWrap/>
            <w:vAlign w:val="bottom"/>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CE2FA3" w:rsidRPr="006173E3" w:rsidRDefault="00CE2FA3" w:rsidP="005B2298">
            <w:pPr>
              <w:jc w:val="center"/>
              <w:rPr>
                <w:rFonts w:ascii="Times New Roman" w:eastAsia="Times New Roman" w:hAnsi="Times New Roman" w:cs="Times New Roman"/>
              </w:rPr>
            </w:pPr>
            <w:r w:rsidRPr="006173E3">
              <w:rPr>
                <w:rFonts w:ascii="Times New Roman" w:eastAsia="Times New Roman" w:hAnsi="Times New Roman" w:cs="Times New Roman"/>
              </w:rPr>
              <w:t> random errors</w:t>
            </w:r>
          </w:p>
        </w:tc>
        <w:tc>
          <w:tcPr>
            <w:tcW w:w="2747" w:type="dxa"/>
            <w:tcBorders>
              <w:top w:val="nil"/>
              <w:left w:val="nil"/>
              <w:bottom w:val="single" w:sz="4" w:space="0" w:color="auto"/>
              <w:right w:val="single" w:sz="4" w:space="0" w:color="auto"/>
            </w:tcBorders>
            <w:shd w:val="clear" w:color="auto" w:fill="auto"/>
            <w:noWrap/>
            <w:vAlign w:val="bottom"/>
          </w:tcPr>
          <w:p w:rsidR="00CE2FA3" w:rsidRPr="002C66A6" w:rsidRDefault="00CE2FA3" w:rsidP="005B2298">
            <w:pPr>
              <w:jc w:val="center"/>
              <w:rPr>
                <w:rFonts w:ascii="Times New Roman" w:eastAsia="Times New Roman" w:hAnsi="Times New Roman" w:cs="Times New Roman"/>
              </w:rPr>
            </w:pPr>
            <w:r w:rsidRPr="002C66A6">
              <w:rPr>
                <w:rFonts w:ascii="Times New Roman" w:eastAsia="Times New Roman" w:hAnsi="Times New Roman" w:cs="Times New Roman"/>
              </w:rPr>
              <w:t>(1.53)</w:t>
            </w:r>
          </w:p>
        </w:tc>
      </w:tr>
    </w:tbl>
    <w:p w:rsidR="00CE2FA3" w:rsidRDefault="00CE2FA3" w:rsidP="00CE2FA3">
      <w:r>
        <w:br w:type="textWrapping" w:clear="all"/>
      </w:r>
    </w:p>
    <w:p w:rsidR="00CE2FA3" w:rsidRDefault="00CE2FA3" w:rsidP="00CE2FA3"/>
    <w:p w:rsidR="00CE2FA3" w:rsidRDefault="00CE2FA3" w:rsidP="00CE2FA3"/>
    <w:p w:rsidR="00CE2FA3" w:rsidRDefault="00CE2FA3" w:rsidP="00CE2FA3"/>
    <w:p w:rsidR="00CE2FA3" w:rsidRDefault="00CE2FA3" w:rsidP="00CE2FA3">
      <w:pPr>
        <w:jc w:val="center"/>
        <w:rPr>
          <w:rFonts w:ascii="Times New Roman" w:hAnsi="Times New Roman" w:cs="Times New Roman"/>
        </w:rPr>
      </w:pPr>
      <w:r>
        <w:rPr>
          <w:rFonts w:ascii="Times New Roman" w:hAnsi="Times New Roman" w:cs="Times New Roman"/>
        </w:rPr>
        <w:t>Additional References:</w:t>
      </w:r>
    </w:p>
    <w:p w:rsidR="00CE2FA3" w:rsidRDefault="00CE2FA3" w:rsidP="00CE2FA3">
      <w:pPr>
        <w:rPr>
          <w:rFonts w:ascii="Times New Roman" w:hAnsi="Times New Roman" w:cs="Times New Roman"/>
        </w:rPr>
      </w:pPr>
    </w:p>
    <w:p w:rsidR="00CE2FA3" w:rsidRDefault="00CE2FA3" w:rsidP="00CE2FA3">
      <w:pPr>
        <w:ind w:left="284" w:hanging="284"/>
        <w:rPr>
          <w:rFonts w:ascii="Times New Roman" w:hAnsi="Times New Roman" w:cs="Times New Roman"/>
        </w:rPr>
      </w:pPr>
      <w:r>
        <w:rPr>
          <w:rFonts w:ascii="Times New Roman" w:hAnsi="Times New Roman" w:cs="Times New Roman"/>
        </w:rPr>
        <w:t xml:space="preserve">Schroeder, D. A., Steel, J. E., </w:t>
      </w:r>
      <w:proofErr w:type="spellStart"/>
      <w:r>
        <w:rPr>
          <w:rFonts w:ascii="Times New Roman" w:hAnsi="Times New Roman" w:cs="Times New Roman"/>
        </w:rPr>
        <w:t>Woodell</w:t>
      </w:r>
      <w:proofErr w:type="spellEnd"/>
      <w:r>
        <w:rPr>
          <w:rFonts w:ascii="Times New Roman" w:hAnsi="Times New Roman" w:cs="Times New Roman"/>
        </w:rPr>
        <w:t xml:space="preserve">, A., &amp; </w:t>
      </w:r>
      <w:proofErr w:type="spellStart"/>
      <w:r>
        <w:rPr>
          <w:rFonts w:ascii="Times New Roman" w:hAnsi="Times New Roman" w:cs="Times New Roman"/>
        </w:rPr>
        <w:t>Bembenek</w:t>
      </w:r>
      <w:proofErr w:type="spellEnd"/>
      <w:r>
        <w:rPr>
          <w:rFonts w:ascii="Times New Roman" w:hAnsi="Times New Roman" w:cs="Times New Roman"/>
        </w:rPr>
        <w:t>, A</w:t>
      </w:r>
      <w:proofErr w:type="gramStart"/>
      <w:r>
        <w:rPr>
          <w:rFonts w:ascii="Times New Roman" w:hAnsi="Times New Roman" w:cs="Times New Roman"/>
        </w:rPr>
        <w:t>.(</w:t>
      </w:r>
      <w:proofErr w:type="gramEnd"/>
      <w:r>
        <w:rPr>
          <w:rFonts w:ascii="Times New Roman" w:hAnsi="Times New Roman" w:cs="Times New Roman"/>
        </w:rPr>
        <w:t xml:space="preserve">2003). </w:t>
      </w:r>
      <w:proofErr w:type="gramStart"/>
      <w:r>
        <w:rPr>
          <w:rFonts w:ascii="Times New Roman" w:hAnsi="Times New Roman" w:cs="Times New Roman"/>
        </w:rPr>
        <w:t>Justice within social dilemmas.</w:t>
      </w:r>
      <w:proofErr w:type="gramEnd"/>
      <w:r>
        <w:rPr>
          <w:rFonts w:ascii="Times New Roman" w:hAnsi="Times New Roman" w:cs="Times New Roman"/>
        </w:rPr>
        <w:t xml:space="preserve"> </w:t>
      </w:r>
      <w:r w:rsidRPr="006E2897">
        <w:rPr>
          <w:rFonts w:ascii="Times New Roman" w:hAnsi="Times New Roman" w:cs="Times New Roman"/>
          <w:i/>
        </w:rPr>
        <w:t>Personality and Social Psychology Review</w:t>
      </w:r>
      <w:r>
        <w:rPr>
          <w:rFonts w:ascii="Times New Roman" w:hAnsi="Times New Roman" w:cs="Times New Roman"/>
        </w:rPr>
        <w:t xml:space="preserve">, </w:t>
      </w:r>
      <w:r w:rsidRPr="006E2897">
        <w:rPr>
          <w:rFonts w:ascii="Times New Roman" w:hAnsi="Times New Roman" w:cs="Times New Roman"/>
          <w:i/>
        </w:rPr>
        <w:t>7</w:t>
      </w:r>
      <w:r>
        <w:rPr>
          <w:rFonts w:ascii="Times New Roman" w:hAnsi="Times New Roman" w:cs="Times New Roman"/>
        </w:rPr>
        <w:t xml:space="preserve">, 374-387. </w:t>
      </w:r>
    </w:p>
    <w:p w:rsidR="00CE2FA3" w:rsidRDefault="00CE2FA3" w:rsidP="00CE2FA3">
      <w:pPr>
        <w:tabs>
          <w:tab w:val="left" w:pos="1250"/>
        </w:tabs>
        <w:rPr>
          <w:rFonts w:ascii="Times New Roman" w:hAnsi="Times New Roman" w:cs="Times New Roman"/>
        </w:rPr>
      </w:pPr>
      <w:r>
        <w:rPr>
          <w:rFonts w:ascii="Times New Roman" w:hAnsi="Times New Roman" w:cs="Times New Roman"/>
        </w:rPr>
        <w:tab/>
      </w:r>
    </w:p>
    <w:p w:rsidR="00EE0062" w:rsidRDefault="00452AE9"/>
    <w:sectPr w:rsidR="00EE00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E9" w:rsidRDefault="00452AE9" w:rsidP="00CE2FA3">
      <w:r>
        <w:separator/>
      </w:r>
    </w:p>
  </w:endnote>
  <w:endnote w:type="continuationSeparator" w:id="0">
    <w:p w:rsidR="00452AE9" w:rsidRDefault="00452AE9" w:rsidP="00CE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E9" w:rsidRDefault="00452AE9" w:rsidP="00CE2FA3">
      <w:r>
        <w:separator/>
      </w:r>
    </w:p>
  </w:footnote>
  <w:footnote w:type="continuationSeparator" w:id="0">
    <w:p w:rsidR="00452AE9" w:rsidRDefault="00452AE9" w:rsidP="00CE2FA3">
      <w:r>
        <w:continuationSeparator/>
      </w:r>
    </w:p>
  </w:footnote>
  <w:footnote w:id="1">
    <w:p w:rsidR="00CE2FA3" w:rsidRDefault="00CE2FA3" w:rsidP="00CE2FA3">
      <w:pPr>
        <w:pStyle w:val="FootnoteText"/>
      </w:pPr>
      <w:r>
        <w:rPr>
          <w:rStyle w:val="FootnoteReference"/>
        </w:rPr>
        <w:footnoteRef/>
      </w:r>
      <w:r>
        <w:t xml:space="preserve"> The intercept and effect of HRES are very similar with the control variables omitted.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A3"/>
    <w:rsid w:val="00086AF0"/>
    <w:rsid w:val="00452AE9"/>
    <w:rsid w:val="005035A8"/>
    <w:rsid w:val="009C1695"/>
    <w:rsid w:val="00C3445D"/>
    <w:rsid w:val="00CE2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A3"/>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2FA3"/>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CE2FA3"/>
    <w:rPr>
      <w:rFonts w:eastAsia="MS Mincho"/>
      <w:sz w:val="20"/>
      <w:szCs w:val="20"/>
      <w:lang w:val="en-US" w:eastAsia="ja-JP"/>
    </w:rPr>
  </w:style>
  <w:style w:type="character" w:styleId="FootnoteReference">
    <w:name w:val="footnote reference"/>
    <w:basedOn w:val="DefaultParagraphFont"/>
    <w:semiHidden/>
    <w:rsid w:val="00CE2FA3"/>
    <w:rPr>
      <w:vertAlign w:val="superscript"/>
    </w:rPr>
  </w:style>
  <w:style w:type="paragraph" w:styleId="BalloonText">
    <w:name w:val="Balloon Text"/>
    <w:basedOn w:val="Normal"/>
    <w:link w:val="BalloonTextChar"/>
    <w:uiPriority w:val="99"/>
    <w:semiHidden/>
    <w:unhideWhenUsed/>
    <w:rsid w:val="00CE2FA3"/>
    <w:rPr>
      <w:rFonts w:ascii="Tahoma" w:hAnsi="Tahoma" w:cs="Tahoma"/>
      <w:sz w:val="16"/>
      <w:szCs w:val="16"/>
    </w:rPr>
  </w:style>
  <w:style w:type="character" w:customStyle="1" w:styleId="BalloonTextChar">
    <w:name w:val="Balloon Text Char"/>
    <w:basedOn w:val="DefaultParagraphFont"/>
    <w:link w:val="BalloonText"/>
    <w:uiPriority w:val="99"/>
    <w:semiHidden/>
    <w:rsid w:val="00CE2FA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A3"/>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2FA3"/>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CE2FA3"/>
    <w:rPr>
      <w:rFonts w:eastAsia="MS Mincho"/>
      <w:sz w:val="20"/>
      <w:szCs w:val="20"/>
      <w:lang w:val="en-US" w:eastAsia="ja-JP"/>
    </w:rPr>
  </w:style>
  <w:style w:type="character" w:styleId="FootnoteReference">
    <w:name w:val="footnote reference"/>
    <w:basedOn w:val="DefaultParagraphFont"/>
    <w:semiHidden/>
    <w:rsid w:val="00CE2FA3"/>
    <w:rPr>
      <w:vertAlign w:val="superscript"/>
    </w:rPr>
  </w:style>
  <w:style w:type="paragraph" w:styleId="BalloonText">
    <w:name w:val="Balloon Text"/>
    <w:basedOn w:val="Normal"/>
    <w:link w:val="BalloonTextChar"/>
    <w:uiPriority w:val="99"/>
    <w:semiHidden/>
    <w:unhideWhenUsed/>
    <w:rsid w:val="00CE2FA3"/>
    <w:rPr>
      <w:rFonts w:ascii="Tahoma" w:hAnsi="Tahoma" w:cs="Tahoma"/>
      <w:sz w:val="16"/>
      <w:szCs w:val="16"/>
    </w:rPr>
  </w:style>
  <w:style w:type="character" w:customStyle="1" w:styleId="BalloonTextChar">
    <w:name w:val="Balloon Text Char"/>
    <w:basedOn w:val="DefaultParagraphFont"/>
    <w:link w:val="BalloonText"/>
    <w:uiPriority w:val="99"/>
    <w:semiHidden/>
    <w:rsid w:val="00CE2FA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Documents\Projects\Stability-Dependent%20Cooperation\power%20version\powerstudy_means_and_semeans_for_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Documents\Projects\Stability-Dependent%20Cooperation\power%20version\powerstudy_means_and_semeans_for_tab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66907261592301"/>
          <c:y val="5.1400554097404502E-2"/>
          <c:w val="0.79651093613298296"/>
          <c:h val="0.83261956838728501"/>
        </c:manualLayout>
      </c:layout>
      <c:barChart>
        <c:barDir val="col"/>
        <c:grouping val="clustered"/>
        <c:varyColors val="0"/>
        <c:ser>
          <c:idx val="0"/>
          <c:order val="0"/>
          <c:tx>
            <c:v>Received</c:v>
          </c:tx>
          <c:spPr>
            <a:solidFill>
              <a:schemeClr val="tx1">
                <a:lumMod val="75000"/>
                <a:lumOff val="25000"/>
              </a:schemeClr>
            </a:solidFill>
          </c:spPr>
          <c:invertIfNegative val="0"/>
          <c:errBars>
            <c:errBarType val="both"/>
            <c:errValType val="cust"/>
            <c:noEndCap val="0"/>
            <c:plus>
              <c:numRef>
                <c:f>'S1 Figure Data'!$D$8:$D$10</c:f>
                <c:numCache>
                  <c:formatCode>General</c:formatCode>
                  <c:ptCount val="3"/>
                  <c:pt idx="0">
                    <c:v>1.13142E-2</c:v>
                  </c:pt>
                  <c:pt idx="1">
                    <c:v>7.0714000000000003E-3</c:v>
                  </c:pt>
                  <c:pt idx="2">
                    <c:v>7.7489000000000004E-3</c:v>
                  </c:pt>
                </c:numCache>
              </c:numRef>
            </c:plus>
            <c:minus>
              <c:numRef>
                <c:f>'S1 Figure Data'!$D$8:$D$10</c:f>
                <c:numCache>
                  <c:formatCode>General</c:formatCode>
                  <c:ptCount val="3"/>
                  <c:pt idx="0">
                    <c:v>1.13142E-2</c:v>
                  </c:pt>
                  <c:pt idx="1">
                    <c:v>7.0714000000000003E-3</c:v>
                  </c:pt>
                  <c:pt idx="2">
                    <c:v>7.7489000000000004E-3</c:v>
                  </c:pt>
                </c:numCache>
              </c:numRef>
            </c:minus>
          </c:errBars>
          <c:cat>
            <c:strRef>
              <c:f>'S1 Figure Data'!$B$8:$B$10</c:f>
              <c:strCache>
                <c:ptCount val="3"/>
                <c:pt idx="0">
                  <c:v>High Rank</c:v>
                </c:pt>
                <c:pt idx="1">
                  <c:v>Low Rank 1</c:v>
                </c:pt>
                <c:pt idx="2">
                  <c:v>Low Rank 2</c:v>
                </c:pt>
              </c:strCache>
            </c:strRef>
          </c:cat>
          <c:val>
            <c:numRef>
              <c:f>'S1 Figure Data'!$C$8:$C$10</c:f>
              <c:numCache>
                <c:formatCode>General</c:formatCode>
                <c:ptCount val="3"/>
                <c:pt idx="0">
                  <c:v>0.57081499999999996</c:v>
                </c:pt>
                <c:pt idx="1">
                  <c:v>0.20307459999999999</c:v>
                </c:pt>
                <c:pt idx="2">
                  <c:v>0.21611040000000001</c:v>
                </c:pt>
              </c:numCache>
            </c:numRef>
          </c:val>
        </c:ser>
        <c:ser>
          <c:idx val="1"/>
          <c:order val="1"/>
          <c:tx>
            <c:v>Provided</c:v>
          </c:tx>
          <c:spPr>
            <a:solidFill>
              <a:schemeClr val="bg1"/>
            </a:solidFill>
            <a:ln>
              <a:solidFill>
                <a:schemeClr val="tx1"/>
              </a:solidFill>
            </a:ln>
          </c:spPr>
          <c:invertIfNegative val="0"/>
          <c:errBars>
            <c:errBarType val="both"/>
            <c:errValType val="cust"/>
            <c:noEndCap val="0"/>
            <c:plus>
              <c:numRef>
                <c:f>'S1 Figure Data'!$D$11:$D$13</c:f>
                <c:numCache>
                  <c:formatCode>General</c:formatCode>
                  <c:ptCount val="3"/>
                  <c:pt idx="0">
                    <c:v>1.0242899999999999E-2</c:v>
                  </c:pt>
                  <c:pt idx="1">
                    <c:v>9.5624000000000004E-3</c:v>
                  </c:pt>
                  <c:pt idx="2">
                    <c:v>9.8992000000000004E-3</c:v>
                  </c:pt>
                </c:numCache>
              </c:numRef>
            </c:plus>
            <c:minus>
              <c:numRef>
                <c:f>'S1 Figure Data'!$D$11:$D$13</c:f>
                <c:numCache>
                  <c:formatCode>General</c:formatCode>
                  <c:ptCount val="3"/>
                  <c:pt idx="0">
                    <c:v>1.0242899999999999E-2</c:v>
                  </c:pt>
                  <c:pt idx="1">
                    <c:v>9.5624000000000004E-3</c:v>
                  </c:pt>
                  <c:pt idx="2">
                    <c:v>9.8992000000000004E-3</c:v>
                  </c:pt>
                </c:numCache>
              </c:numRef>
            </c:minus>
          </c:errBars>
          <c:val>
            <c:numRef>
              <c:f>'S1 Figure Data'!$C$11:$C$13</c:f>
              <c:numCache>
                <c:formatCode>General</c:formatCode>
                <c:ptCount val="3"/>
                <c:pt idx="0">
                  <c:v>0.3710987</c:v>
                </c:pt>
                <c:pt idx="1">
                  <c:v>0.30264990000000003</c:v>
                </c:pt>
                <c:pt idx="2">
                  <c:v>0.32625140000000002</c:v>
                </c:pt>
              </c:numCache>
            </c:numRef>
          </c:val>
        </c:ser>
        <c:dLbls>
          <c:showLegendKey val="0"/>
          <c:showVal val="0"/>
          <c:showCatName val="0"/>
          <c:showSerName val="0"/>
          <c:showPercent val="0"/>
          <c:showBubbleSize val="0"/>
        </c:dLbls>
        <c:gapWidth val="150"/>
        <c:axId val="251376000"/>
        <c:axId val="251377920"/>
      </c:barChart>
      <c:catAx>
        <c:axId val="251376000"/>
        <c:scaling>
          <c:orientation val="minMax"/>
        </c:scaling>
        <c:delete val="0"/>
        <c:axPos val="b"/>
        <c:majorTickMark val="out"/>
        <c:minorTickMark val="none"/>
        <c:tickLblPos val="nextTo"/>
        <c:txPr>
          <a:bodyPr/>
          <a:lstStyle/>
          <a:p>
            <a:pPr>
              <a:defRPr sz="1400" baseline="0"/>
            </a:pPr>
            <a:endParaRPr lang="en-US"/>
          </a:p>
        </c:txPr>
        <c:crossAx val="251377920"/>
        <c:crosses val="autoZero"/>
        <c:auto val="1"/>
        <c:lblAlgn val="ctr"/>
        <c:lblOffset val="100"/>
        <c:noMultiLvlLbl val="0"/>
      </c:catAx>
      <c:valAx>
        <c:axId val="251377920"/>
        <c:scaling>
          <c:orientation val="minMax"/>
        </c:scaling>
        <c:delete val="0"/>
        <c:axPos val="l"/>
        <c:majorGridlines>
          <c:spPr>
            <a:ln>
              <a:noFill/>
            </a:ln>
          </c:spPr>
        </c:majorGridlines>
        <c:title>
          <c:tx>
            <c:rich>
              <a:bodyPr rot="-5400000" vert="horz"/>
              <a:lstStyle/>
              <a:p>
                <a:pPr>
                  <a:defRPr sz="1300" baseline="0"/>
                </a:pPr>
                <a:r>
                  <a:rPr lang="en-US" sz="1300" baseline="0"/>
                  <a:t>Proportion of Public Good Provided and Received</a:t>
                </a:r>
              </a:p>
            </c:rich>
          </c:tx>
          <c:layout>
            <c:manualLayout>
              <c:xMode val="edge"/>
              <c:yMode val="edge"/>
              <c:x val="2.27777777777778E-3"/>
              <c:y val="0.10825422863808699"/>
            </c:manualLayout>
          </c:layout>
          <c:overlay val="0"/>
        </c:title>
        <c:numFmt formatCode="General" sourceLinked="1"/>
        <c:majorTickMark val="out"/>
        <c:minorTickMark val="none"/>
        <c:tickLblPos val="nextTo"/>
        <c:txPr>
          <a:bodyPr/>
          <a:lstStyle/>
          <a:p>
            <a:pPr>
              <a:defRPr sz="1200" baseline="0"/>
            </a:pPr>
            <a:endParaRPr lang="en-US"/>
          </a:p>
        </c:txPr>
        <c:crossAx val="251376000"/>
        <c:crosses val="autoZero"/>
        <c:crossBetween val="between"/>
      </c:valAx>
      <c:spPr>
        <a:noFill/>
        <a:ln>
          <a:noFill/>
        </a:ln>
      </c:spPr>
    </c:plotArea>
    <c:legend>
      <c:legendPos val="r"/>
      <c:layout>
        <c:manualLayout>
          <c:xMode val="edge"/>
          <c:yMode val="edge"/>
          <c:x val="0.50884667541557305"/>
          <c:y val="0.22608413531641899"/>
          <c:w val="0.201919947506562"/>
          <c:h val="0.21221274424030301"/>
        </c:manualLayout>
      </c:layout>
      <c:overlay val="0"/>
      <c:txPr>
        <a:bodyPr/>
        <a:lstStyle/>
        <a:p>
          <a:pPr>
            <a:defRPr sz="1400" baseline="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00874890638701"/>
          <c:y val="3.3912219305920102E-2"/>
          <c:w val="0.77881342957130295"/>
          <c:h val="0.73287766112569297"/>
        </c:manualLayout>
      </c:layout>
      <c:lineChart>
        <c:grouping val="standard"/>
        <c:varyColors val="0"/>
        <c:ser>
          <c:idx val="0"/>
          <c:order val="0"/>
          <c:tx>
            <c:v>Amount Claimed</c:v>
          </c:tx>
          <c:spPr>
            <a:ln>
              <a:solidFill>
                <a:schemeClr val="tx1"/>
              </a:solidFill>
            </a:ln>
          </c:spPr>
          <c:marker>
            <c:symbol val="circle"/>
            <c:size val="5"/>
            <c:spPr>
              <a:solidFill>
                <a:schemeClr val="tx1"/>
              </a:solidFill>
            </c:spPr>
          </c:marker>
          <c:errBars>
            <c:errDir val="y"/>
            <c:errBarType val="both"/>
            <c:errValType val="cust"/>
            <c:noEndCap val="0"/>
            <c:plus>
              <c:numRef>
                <c:f>'S2 Figure data'!$J$6:$J$15</c:f>
                <c:numCache>
                  <c:formatCode>General</c:formatCode>
                  <c:ptCount val="10"/>
                  <c:pt idx="0">
                    <c:v>3.6427099999999997E-2</c:v>
                  </c:pt>
                  <c:pt idx="1">
                    <c:v>3.0210600000000001E-2</c:v>
                  </c:pt>
                  <c:pt idx="2">
                    <c:v>2.2299699999999999E-2</c:v>
                  </c:pt>
                  <c:pt idx="3">
                    <c:v>2.15611E-2</c:v>
                  </c:pt>
                  <c:pt idx="4">
                    <c:v>2.24858E-2</c:v>
                  </c:pt>
                  <c:pt idx="5">
                    <c:v>2.9847200000000001E-2</c:v>
                  </c:pt>
                  <c:pt idx="6">
                    <c:v>2.61931E-2</c:v>
                  </c:pt>
                  <c:pt idx="7">
                    <c:v>4.7049399999999998E-2</c:v>
                  </c:pt>
                  <c:pt idx="8">
                    <c:v>4.1439900000000002E-2</c:v>
                  </c:pt>
                  <c:pt idx="9">
                    <c:v>6.7852999999999997E-2</c:v>
                  </c:pt>
                </c:numCache>
              </c:numRef>
            </c:plus>
            <c:minus>
              <c:numRef>
                <c:f>'S2 Figure data'!$J$6:$J$15</c:f>
                <c:numCache>
                  <c:formatCode>General</c:formatCode>
                  <c:ptCount val="10"/>
                  <c:pt idx="0">
                    <c:v>3.6427099999999997E-2</c:v>
                  </c:pt>
                  <c:pt idx="1">
                    <c:v>3.0210600000000001E-2</c:v>
                  </c:pt>
                  <c:pt idx="2">
                    <c:v>2.2299699999999999E-2</c:v>
                  </c:pt>
                  <c:pt idx="3">
                    <c:v>2.15611E-2</c:v>
                  </c:pt>
                  <c:pt idx="4">
                    <c:v>2.24858E-2</c:v>
                  </c:pt>
                  <c:pt idx="5">
                    <c:v>2.9847200000000001E-2</c:v>
                  </c:pt>
                  <c:pt idx="6">
                    <c:v>2.61931E-2</c:v>
                  </c:pt>
                  <c:pt idx="7">
                    <c:v>4.7049399999999998E-2</c:v>
                  </c:pt>
                  <c:pt idx="8">
                    <c:v>4.1439900000000002E-2</c:v>
                  </c:pt>
                  <c:pt idx="9">
                    <c:v>6.7852999999999997E-2</c:v>
                  </c:pt>
                </c:numCache>
              </c:numRef>
            </c:minus>
          </c:errBars>
          <c:cat>
            <c:strRef>
              <c:f>'S2 Figure data'!$H$6:$H$15</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'S2 Figure data'!$I$6:$I$15</c:f>
              <c:numCache>
                <c:formatCode>General</c:formatCode>
                <c:ptCount val="10"/>
                <c:pt idx="0">
                  <c:v>0.50519890000000001</c:v>
                </c:pt>
                <c:pt idx="1">
                  <c:v>0.40560970000000002</c:v>
                </c:pt>
                <c:pt idx="2">
                  <c:v>0.48385339999999999</c:v>
                </c:pt>
                <c:pt idx="3">
                  <c:v>0.5050405</c:v>
                </c:pt>
                <c:pt idx="4">
                  <c:v>0.61665139999999996</c:v>
                </c:pt>
                <c:pt idx="5">
                  <c:v>0.65660989999999997</c:v>
                </c:pt>
                <c:pt idx="6">
                  <c:v>0.77365550000000005</c:v>
                </c:pt>
                <c:pt idx="7">
                  <c:v>0.80028189999999999</c:v>
                </c:pt>
                <c:pt idx="8">
                  <c:v>0.84833479999999994</c:v>
                </c:pt>
                <c:pt idx="9">
                  <c:v>0.77035759999999998</c:v>
                </c:pt>
              </c:numCache>
            </c:numRef>
          </c:val>
          <c:smooth val="0"/>
        </c:ser>
        <c:ser>
          <c:idx val="1"/>
          <c:order val="1"/>
          <c:tx>
            <c:v>Equitable Share</c:v>
          </c:tx>
          <c:spPr>
            <a:ln w="9525">
              <a:solidFill>
                <a:schemeClr val="tx1"/>
              </a:solidFill>
              <a:prstDash val="lgDash"/>
            </a:ln>
          </c:spPr>
          <c:marker>
            <c:symbol val="none"/>
          </c:marker>
          <c:val>
            <c:numRef>
              <c:f>'S2 Figure data'!$I$17:$I$26</c:f>
              <c:numCache>
                <c:formatCode>General</c:formatCode>
                <c:ptCount val="10"/>
                <c:pt idx="0">
                  <c:v>3.1720400000000003E-2</c:v>
                </c:pt>
                <c:pt idx="1">
                  <c:v>0.1415401</c:v>
                </c:pt>
                <c:pt idx="2">
                  <c:v>0.25415690000000002</c:v>
                </c:pt>
                <c:pt idx="3">
                  <c:v>0.35059010000000002</c:v>
                </c:pt>
                <c:pt idx="4">
                  <c:v>0.45508120000000002</c:v>
                </c:pt>
                <c:pt idx="5">
                  <c:v>0.55140359999999999</c:v>
                </c:pt>
                <c:pt idx="6">
                  <c:v>0.64260059999999997</c:v>
                </c:pt>
                <c:pt idx="7">
                  <c:v>0.73992970000000002</c:v>
                </c:pt>
                <c:pt idx="8">
                  <c:v>0.85338499999999995</c:v>
                </c:pt>
                <c:pt idx="9">
                  <c:v>0.98260139999999996</c:v>
                </c:pt>
              </c:numCache>
            </c:numRef>
          </c:val>
          <c:smooth val="0"/>
        </c:ser>
        <c:dLbls>
          <c:showLegendKey val="0"/>
          <c:showVal val="0"/>
          <c:showCatName val="0"/>
          <c:showSerName val="0"/>
          <c:showPercent val="0"/>
          <c:showBubbleSize val="0"/>
        </c:dLbls>
        <c:marker val="1"/>
        <c:smooth val="0"/>
        <c:axId val="243830144"/>
        <c:axId val="243840512"/>
      </c:lineChart>
      <c:catAx>
        <c:axId val="243830144"/>
        <c:scaling>
          <c:orientation val="minMax"/>
        </c:scaling>
        <c:delete val="0"/>
        <c:axPos val="b"/>
        <c:title>
          <c:tx>
            <c:rich>
              <a:bodyPr/>
              <a:lstStyle/>
              <a:p>
                <a:pPr>
                  <a:defRPr sz="1200" baseline="0"/>
                </a:pPr>
                <a:r>
                  <a:rPr lang="en-CA" sz="1200" baseline="0"/>
                  <a:t>Percentage of Total Contributions Made By High-Ranking Participant</a:t>
                </a:r>
              </a:p>
            </c:rich>
          </c:tx>
          <c:layout>
            <c:manualLayout>
              <c:xMode val="edge"/>
              <c:yMode val="edge"/>
              <c:x val="0.19302777777777799"/>
              <c:y val="0.85509259259259296"/>
            </c:manualLayout>
          </c:layout>
          <c:overlay val="0"/>
        </c:title>
        <c:majorTickMark val="out"/>
        <c:minorTickMark val="none"/>
        <c:tickLblPos val="nextTo"/>
        <c:txPr>
          <a:bodyPr/>
          <a:lstStyle/>
          <a:p>
            <a:pPr>
              <a:defRPr sz="1150" baseline="0"/>
            </a:pPr>
            <a:endParaRPr lang="en-US"/>
          </a:p>
        </c:txPr>
        <c:crossAx val="243840512"/>
        <c:crosses val="autoZero"/>
        <c:auto val="1"/>
        <c:lblAlgn val="ctr"/>
        <c:lblOffset val="100"/>
        <c:tickLblSkip val="2"/>
        <c:noMultiLvlLbl val="0"/>
      </c:catAx>
      <c:valAx>
        <c:axId val="243840512"/>
        <c:scaling>
          <c:orientation val="minMax"/>
          <c:max val="1"/>
        </c:scaling>
        <c:delete val="0"/>
        <c:axPos val="l"/>
        <c:majorGridlines>
          <c:spPr>
            <a:ln>
              <a:noFill/>
            </a:ln>
          </c:spPr>
        </c:majorGridlines>
        <c:title>
          <c:tx>
            <c:rich>
              <a:bodyPr rot="-5400000" vert="horz"/>
              <a:lstStyle/>
              <a:p>
                <a:pPr>
                  <a:defRPr sz="1250" baseline="0"/>
                </a:pPr>
                <a:r>
                  <a:rPr lang="en-CA" sz="1250" baseline="0"/>
                  <a:t>Proportion of Public Good Claimed</a:t>
                </a:r>
              </a:p>
            </c:rich>
          </c:tx>
          <c:layout>
            <c:manualLayout>
              <c:xMode val="edge"/>
              <c:yMode val="edge"/>
              <c:x val="9.3996062992126005E-3"/>
              <c:y val="7.0732720909886304E-2"/>
            </c:manualLayout>
          </c:layout>
          <c:overlay val="0"/>
        </c:title>
        <c:numFmt formatCode="General" sourceLinked="1"/>
        <c:majorTickMark val="out"/>
        <c:minorTickMark val="none"/>
        <c:tickLblPos val="nextTo"/>
        <c:txPr>
          <a:bodyPr/>
          <a:lstStyle/>
          <a:p>
            <a:pPr>
              <a:defRPr sz="1150" baseline="0"/>
            </a:pPr>
            <a:endParaRPr lang="en-US"/>
          </a:p>
        </c:txPr>
        <c:crossAx val="243830144"/>
        <c:crosses val="autoZero"/>
        <c:crossBetween val="between"/>
      </c:valAx>
    </c:plotArea>
    <c:legend>
      <c:legendPos val="r"/>
      <c:layout>
        <c:manualLayout>
          <c:xMode val="edge"/>
          <c:yMode val="edge"/>
          <c:x val="0.21361023622047201"/>
          <c:y val="0.10609762321376499"/>
          <c:w val="0.36277865266841602"/>
          <c:h val="0.1674343832021"/>
        </c:manualLayout>
      </c:layout>
      <c:overlay val="0"/>
      <c:txPr>
        <a:bodyPr/>
        <a:lstStyle/>
        <a:p>
          <a:pPr>
            <a:defRPr sz="1050" baseline="0"/>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2013-08-08T17:50:00Z</dcterms:created>
  <dcterms:modified xsi:type="dcterms:W3CDTF">2013-08-08T17:51:00Z</dcterms:modified>
</cp:coreProperties>
</file>