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D4" w:rsidRDefault="006C50D4" w:rsidP="006B66E7">
      <w:pPr>
        <w:rPr>
          <w:szCs w:val="21"/>
        </w:rPr>
      </w:pPr>
      <w:r w:rsidRPr="00964612">
        <w:rPr>
          <w:b/>
          <w:szCs w:val="21"/>
        </w:rPr>
        <w:t>Table S</w:t>
      </w:r>
      <w:r>
        <w:rPr>
          <w:rFonts w:hint="eastAsia"/>
          <w:b/>
          <w:szCs w:val="21"/>
        </w:rPr>
        <w:t>2</w:t>
      </w:r>
      <w:r w:rsidRPr="00964612">
        <w:rPr>
          <w:szCs w:val="21"/>
        </w:rPr>
        <w:t>. Primers used for amplification and sequencing</w:t>
      </w:r>
    </w:p>
    <w:p w:rsidR="0081219A" w:rsidRPr="00964612" w:rsidRDefault="0081219A" w:rsidP="006B66E7">
      <w:pPr>
        <w:rPr>
          <w:szCs w:val="21"/>
        </w:rPr>
      </w:pPr>
    </w:p>
    <w:tbl>
      <w:tblPr>
        <w:tblStyle w:val="a5"/>
        <w:tblW w:w="5090" w:type="pct"/>
        <w:tblBorders>
          <w:left w:val="none" w:sz="0" w:space="0" w:color="auto"/>
          <w:right w:val="none" w:sz="0" w:space="0" w:color="auto"/>
        </w:tblBorders>
        <w:tblCellMar>
          <w:right w:w="57" w:type="dxa"/>
        </w:tblCellMar>
        <w:tblLook w:val="04A0"/>
      </w:tblPr>
      <w:tblGrid>
        <w:gridCol w:w="1149"/>
        <w:gridCol w:w="993"/>
        <w:gridCol w:w="4061"/>
        <w:gridCol w:w="2420"/>
      </w:tblGrid>
      <w:tr w:rsidR="006C50D4" w:rsidRPr="00A95145" w:rsidTr="00C0232A">
        <w:tc>
          <w:tcPr>
            <w:tcW w:w="666" w:type="pct"/>
            <w:tcBorders>
              <w:bottom w:val="single" w:sz="4" w:space="0" w:color="auto"/>
              <w:right w:val="nil"/>
            </w:tcBorders>
          </w:tcPr>
          <w:p w:rsidR="006C50D4" w:rsidRPr="00A95145" w:rsidRDefault="006C50D4" w:rsidP="00920592">
            <w:pPr>
              <w:rPr>
                <w:szCs w:val="21"/>
              </w:rPr>
            </w:pPr>
            <w:bookmarkStart w:id="0" w:name="OLE_LINK5"/>
            <w:bookmarkStart w:id="1" w:name="OLE_LINK6"/>
            <w:r w:rsidRPr="00A95145">
              <w:rPr>
                <w:bCs/>
                <w:kern w:val="0"/>
                <w:szCs w:val="21"/>
              </w:rPr>
              <w:t>Regions</w:t>
            </w:r>
          </w:p>
        </w:tc>
        <w:tc>
          <w:tcPr>
            <w:tcW w:w="293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C50D4" w:rsidRPr="00A95145" w:rsidRDefault="006C50D4" w:rsidP="00A95145">
            <w:pPr>
              <w:rPr>
                <w:szCs w:val="21"/>
              </w:rPr>
            </w:pPr>
            <w:r w:rsidRPr="00A95145">
              <w:rPr>
                <w:bCs/>
                <w:kern w:val="0"/>
                <w:szCs w:val="21"/>
              </w:rPr>
              <w:t>Successful primers and their sequences (5</w:t>
            </w:r>
            <w:r w:rsidR="00A95145" w:rsidRPr="00A95145">
              <w:rPr>
                <w:bCs/>
                <w:kern w:val="0"/>
                <w:szCs w:val="21"/>
              </w:rPr>
              <w:t>’</w:t>
            </w:r>
            <w:r w:rsidRPr="00A95145">
              <w:rPr>
                <w:bCs/>
                <w:kern w:val="0"/>
                <w:szCs w:val="21"/>
              </w:rPr>
              <w:t>-3</w:t>
            </w:r>
            <w:r w:rsidR="00A95145" w:rsidRPr="00A95145">
              <w:rPr>
                <w:bCs/>
                <w:kern w:val="0"/>
                <w:szCs w:val="21"/>
              </w:rPr>
              <w:t>’</w:t>
            </w:r>
            <w:r w:rsidRPr="00A95145">
              <w:rPr>
                <w:bCs/>
                <w:kern w:val="0"/>
                <w:szCs w:val="21"/>
              </w:rPr>
              <w:t>)</w:t>
            </w:r>
          </w:p>
        </w:tc>
        <w:tc>
          <w:tcPr>
            <w:tcW w:w="1403" w:type="pct"/>
            <w:tcBorders>
              <w:left w:val="nil"/>
              <w:bottom w:val="single" w:sz="4" w:space="0" w:color="auto"/>
            </w:tcBorders>
          </w:tcPr>
          <w:p w:rsidR="006C50D4" w:rsidRPr="00A95145" w:rsidRDefault="006C50D4" w:rsidP="00920592">
            <w:pPr>
              <w:rPr>
                <w:szCs w:val="21"/>
              </w:rPr>
            </w:pPr>
            <w:r w:rsidRPr="00A95145">
              <w:rPr>
                <w:bCs/>
                <w:kern w:val="0"/>
                <w:szCs w:val="21"/>
              </w:rPr>
              <w:t>References</w:t>
            </w:r>
          </w:p>
        </w:tc>
      </w:tr>
      <w:tr w:rsidR="006C50D4" w:rsidRPr="00A95145" w:rsidTr="00C0232A">
        <w:tc>
          <w:tcPr>
            <w:tcW w:w="666" w:type="pct"/>
            <w:vMerge w:val="restart"/>
            <w:tcBorders>
              <w:right w:val="nil"/>
            </w:tcBorders>
          </w:tcPr>
          <w:p w:rsidR="006C50D4" w:rsidRPr="00A95145" w:rsidRDefault="006C50D4" w:rsidP="00920592">
            <w:pPr>
              <w:rPr>
                <w:color w:val="FF0000"/>
                <w:kern w:val="0"/>
                <w:szCs w:val="21"/>
              </w:rPr>
            </w:pPr>
            <w:r w:rsidRPr="00F92145">
              <w:rPr>
                <w:rFonts w:eastAsiaTheme="minorEastAsia"/>
                <w:i/>
                <w:kern w:val="0"/>
                <w:szCs w:val="21"/>
              </w:rPr>
              <w:t>mat</w:t>
            </w:r>
            <w:r w:rsidRPr="00F92145">
              <w:rPr>
                <w:rFonts w:eastAsiaTheme="minorEastAsia"/>
                <w:kern w:val="0"/>
                <w:szCs w:val="21"/>
              </w:rPr>
              <w:t>K</w:t>
            </w:r>
          </w:p>
        </w:tc>
        <w:tc>
          <w:tcPr>
            <w:tcW w:w="576" w:type="pct"/>
            <w:tcBorders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rPr>
                <w:color w:val="FF0000"/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>3F_KIM</w:t>
            </w:r>
          </w:p>
        </w:tc>
        <w:tc>
          <w:tcPr>
            <w:tcW w:w="2355" w:type="pct"/>
            <w:tcBorders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TAATGAGAAAGATTTCTGCATATACG</w:t>
            </w:r>
          </w:p>
        </w:tc>
        <w:tc>
          <w:tcPr>
            <w:tcW w:w="1403" w:type="pct"/>
            <w:tcBorders>
              <w:left w:val="nil"/>
              <w:bottom w:val="nil"/>
            </w:tcBorders>
          </w:tcPr>
          <w:p w:rsidR="006C50D4" w:rsidRPr="00A95145" w:rsidRDefault="006C50D4" w:rsidP="008F3B26">
            <w:pPr>
              <w:widowControl/>
              <w:rPr>
                <w:color w:val="FF0000"/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 xml:space="preserve">Schroeder </w:t>
            </w:r>
            <w:r w:rsidRPr="00A95145">
              <w:rPr>
                <w:kern w:val="0"/>
                <w:szCs w:val="21"/>
              </w:rPr>
              <w:t xml:space="preserve">et al. 2012 </w:t>
            </w:r>
            <w:r w:rsidRPr="00A95145">
              <w:rPr>
                <w:noProof/>
                <w:kern w:val="0"/>
                <w:szCs w:val="21"/>
              </w:rPr>
              <w:t>[1]</w:t>
            </w:r>
          </w:p>
        </w:tc>
      </w:tr>
      <w:tr w:rsidR="006C50D4" w:rsidRPr="00A95145" w:rsidTr="00C0232A">
        <w:tc>
          <w:tcPr>
            <w:tcW w:w="666" w:type="pct"/>
            <w:vMerge/>
            <w:tcBorders>
              <w:bottom w:val="nil"/>
              <w:right w:val="nil"/>
            </w:tcBorders>
          </w:tcPr>
          <w:p w:rsidR="006C50D4" w:rsidRPr="00A95145" w:rsidRDefault="006C50D4" w:rsidP="00920592">
            <w:pPr>
              <w:rPr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>1R_KIM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TTTACGATCAATTCATTCAATATTTCC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8F3B26">
            <w:pPr>
              <w:widowControl/>
              <w:rPr>
                <w:color w:val="FF0000"/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 xml:space="preserve">Schroeder </w:t>
            </w:r>
            <w:r w:rsidRPr="00A95145">
              <w:rPr>
                <w:kern w:val="0"/>
                <w:szCs w:val="21"/>
              </w:rPr>
              <w:t xml:space="preserve">et al. 2012 </w:t>
            </w:r>
            <w:r w:rsidRPr="00A95145">
              <w:rPr>
                <w:noProof/>
                <w:kern w:val="0"/>
                <w:szCs w:val="21"/>
              </w:rPr>
              <w:t>[1]</w:t>
            </w:r>
          </w:p>
        </w:tc>
      </w:tr>
      <w:tr w:rsidR="006C50D4" w:rsidRPr="00A95145" w:rsidTr="00C0232A">
        <w:tc>
          <w:tcPr>
            <w:tcW w:w="666" w:type="pct"/>
            <w:vMerge w:val="restart"/>
            <w:tcBorders>
              <w:top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i/>
                <w:iCs/>
                <w:kern w:val="0"/>
                <w:szCs w:val="21"/>
              </w:rPr>
            </w:pPr>
            <w:r w:rsidRPr="00A95145">
              <w:rPr>
                <w:i/>
                <w:iCs/>
                <w:kern w:val="0"/>
                <w:szCs w:val="21"/>
              </w:rPr>
              <w:t>psb</w:t>
            </w:r>
            <w:r w:rsidRPr="00A95145">
              <w:rPr>
                <w:iCs/>
                <w:kern w:val="0"/>
                <w:szCs w:val="21"/>
              </w:rPr>
              <w:t>A</w:t>
            </w:r>
            <w:r w:rsidRPr="00A95145">
              <w:rPr>
                <w:i/>
                <w:iCs/>
                <w:kern w:val="0"/>
                <w:szCs w:val="21"/>
              </w:rPr>
              <w:t>-trn</w:t>
            </w:r>
            <w:r w:rsidRPr="00A95145">
              <w:rPr>
                <w:iCs/>
                <w:kern w:val="0"/>
                <w:szCs w:val="21"/>
              </w:rPr>
              <w:t>H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trnH2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CGCGCATGGTGGATTCACAATCC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8F3B26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 xml:space="preserve">Tate &amp; Simpson 2003 </w:t>
            </w:r>
            <w:r w:rsidRPr="00A95145">
              <w:rPr>
                <w:noProof/>
                <w:kern w:val="0"/>
                <w:szCs w:val="21"/>
              </w:rPr>
              <w:t>[2]</w:t>
            </w:r>
          </w:p>
        </w:tc>
      </w:tr>
      <w:tr w:rsidR="006C50D4" w:rsidRPr="00A95145" w:rsidTr="00C0232A">
        <w:tc>
          <w:tcPr>
            <w:tcW w:w="666" w:type="pct"/>
            <w:vMerge/>
            <w:tcBorders>
              <w:bottom w:val="nil"/>
              <w:right w:val="nil"/>
            </w:tcBorders>
          </w:tcPr>
          <w:p w:rsidR="006C50D4" w:rsidRPr="00A95145" w:rsidRDefault="006C50D4" w:rsidP="00920592">
            <w:pPr>
              <w:rPr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psbAF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GTTATGCATGAACGTAATGCTC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8F3B26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 xml:space="preserve">Sang et al. 1997 </w:t>
            </w:r>
            <w:r w:rsidRPr="00A95145">
              <w:rPr>
                <w:noProof/>
                <w:kern w:val="0"/>
                <w:szCs w:val="21"/>
              </w:rPr>
              <w:t>[3]</w:t>
            </w:r>
          </w:p>
        </w:tc>
      </w:tr>
      <w:tr w:rsidR="006C50D4" w:rsidRPr="00A95145" w:rsidTr="00C0232A">
        <w:tc>
          <w:tcPr>
            <w:tcW w:w="666" w:type="pct"/>
            <w:vMerge w:val="restart"/>
            <w:tcBorders>
              <w:top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i/>
                <w:iCs/>
                <w:kern w:val="0"/>
                <w:szCs w:val="21"/>
              </w:rPr>
            </w:pPr>
            <w:r w:rsidRPr="00A95145">
              <w:rPr>
                <w:i/>
                <w:iCs/>
                <w:kern w:val="0"/>
                <w:szCs w:val="21"/>
              </w:rPr>
              <w:t>rbc</w:t>
            </w:r>
            <w:r w:rsidRPr="00A95145">
              <w:rPr>
                <w:kern w:val="0"/>
                <w:szCs w:val="21"/>
              </w:rPr>
              <w:t>L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F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ATGTCACCACAAACAGAGACT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This study</w:t>
            </w:r>
          </w:p>
        </w:tc>
      </w:tr>
      <w:tr w:rsidR="006C50D4" w:rsidRPr="00A95145" w:rsidTr="00C0232A">
        <w:tc>
          <w:tcPr>
            <w:tcW w:w="666" w:type="pct"/>
            <w:vMerge/>
            <w:tcBorders>
              <w:bottom w:val="nil"/>
              <w:right w:val="nil"/>
            </w:tcBorders>
          </w:tcPr>
          <w:p w:rsidR="006C50D4" w:rsidRPr="00A95145" w:rsidRDefault="006C50D4" w:rsidP="00920592">
            <w:pPr>
              <w:rPr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R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CCGAATTGTAGTACGGAATC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This study</w:t>
            </w:r>
          </w:p>
        </w:tc>
      </w:tr>
      <w:tr w:rsidR="006C50D4" w:rsidRPr="00A95145" w:rsidTr="00C0232A">
        <w:tc>
          <w:tcPr>
            <w:tcW w:w="666" w:type="pct"/>
            <w:vMerge w:val="restart"/>
            <w:tcBorders>
              <w:top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i/>
                <w:iCs/>
                <w:kern w:val="0"/>
                <w:szCs w:val="21"/>
              </w:rPr>
            </w:pPr>
            <w:r w:rsidRPr="00A95145">
              <w:rPr>
                <w:rFonts w:eastAsiaTheme="minorEastAsia"/>
                <w:i/>
                <w:kern w:val="0"/>
                <w:szCs w:val="21"/>
              </w:rPr>
              <w:t>trn</w:t>
            </w:r>
            <w:r w:rsidRPr="00A95145">
              <w:rPr>
                <w:rFonts w:eastAsiaTheme="minorEastAsia"/>
                <w:kern w:val="0"/>
                <w:szCs w:val="21"/>
              </w:rPr>
              <w:t>G-</w:t>
            </w:r>
            <w:r w:rsidRPr="00A95145">
              <w:rPr>
                <w:rFonts w:eastAsiaTheme="minorEastAsia"/>
                <w:i/>
                <w:kern w:val="0"/>
                <w:szCs w:val="21"/>
              </w:rPr>
              <w:t>psb</w:t>
            </w:r>
            <w:r w:rsidRPr="00A95145">
              <w:rPr>
                <w:rFonts w:eastAsiaTheme="minorEastAsia"/>
                <w:kern w:val="0"/>
                <w:szCs w:val="21"/>
              </w:rPr>
              <w:t>K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>3a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>GAAGGATTCGAACCTCCGAATG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 xml:space="preserve">Schroeder </w:t>
            </w:r>
            <w:r w:rsidRPr="00A95145">
              <w:rPr>
                <w:kern w:val="0"/>
                <w:szCs w:val="21"/>
              </w:rPr>
              <w:t xml:space="preserve">et al. 2011 </w:t>
            </w:r>
            <w:r w:rsidRPr="00A95145">
              <w:rPr>
                <w:noProof/>
                <w:kern w:val="0"/>
                <w:szCs w:val="21"/>
              </w:rPr>
              <w:t>[1]</w:t>
            </w:r>
          </w:p>
        </w:tc>
      </w:tr>
      <w:tr w:rsidR="006C50D4" w:rsidRPr="00A95145" w:rsidTr="00C0232A">
        <w:tc>
          <w:tcPr>
            <w:tcW w:w="666" w:type="pct"/>
            <w:vMerge/>
            <w:tcBorders>
              <w:bottom w:val="nil"/>
              <w:right w:val="nil"/>
            </w:tcBorders>
          </w:tcPr>
          <w:p w:rsidR="006C50D4" w:rsidRPr="00A95145" w:rsidRDefault="006C50D4" w:rsidP="00920592">
            <w:pPr>
              <w:rPr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>3b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>CTGGCATAACATCTACGATTGG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920592">
            <w:pPr>
              <w:widowControl/>
              <w:tabs>
                <w:tab w:val="left" w:pos="2866"/>
              </w:tabs>
              <w:ind w:rightChars="10" w:right="21"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 xml:space="preserve">Schroeder </w:t>
            </w:r>
            <w:r w:rsidRPr="00A95145">
              <w:rPr>
                <w:kern w:val="0"/>
                <w:szCs w:val="21"/>
              </w:rPr>
              <w:t xml:space="preserve">et al. 2011 </w:t>
            </w:r>
            <w:r w:rsidRPr="00A95145">
              <w:rPr>
                <w:noProof/>
                <w:kern w:val="0"/>
                <w:szCs w:val="21"/>
              </w:rPr>
              <w:t>[1]</w:t>
            </w:r>
          </w:p>
        </w:tc>
      </w:tr>
      <w:tr w:rsidR="006C50D4" w:rsidRPr="00A95145" w:rsidTr="00C0232A">
        <w:tc>
          <w:tcPr>
            <w:tcW w:w="666" w:type="pct"/>
            <w:vMerge w:val="restart"/>
            <w:tcBorders>
              <w:top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i/>
                <w:iCs/>
                <w:kern w:val="0"/>
                <w:szCs w:val="21"/>
              </w:rPr>
            </w:pPr>
            <w:r w:rsidRPr="00A95145">
              <w:rPr>
                <w:rFonts w:eastAsiaTheme="minorEastAsia"/>
                <w:i/>
                <w:kern w:val="0"/>
                <w:szCs w:val="21"/>
              </w:rPr>
              <w:t>psb</w:t>
            </w:r>
            <w:r w:rsidRPr="00A95145">
              <w:rPr>
                <w:rFonts w:eastAsiaTheme="minorEastAsia"/>
                <w:kern w:val="0"/>
                <w:szCs w:val="21"/>
              </w:rPr>
              <w:t>K-</w:t>
            </w:r>
            <w:r w:rsidRPr="00A95145">
              <w:rPr>
                <w:rFonts w:eastAsiaTheme="minorEastAsia"/>
                <w:i/>
                <w:kern w:val="0"/>
                <w:szCs w:val="21"/>
              </w:rPr>
              <w:t>psb</w:t>
            </w:r>
            <w:r w:rsidRPr="00A95145">
              <w:rPr>
                <w:rFonts w:eastAsiaTheme="minorEastAsia"/>
                <w:kern w:val="0"/>
                <w:szCs w:val="21"/>
              </w:rPr>
              <w:t>I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4a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widowControl/>
              <w:ind w:rightChars="-32" w:right="-67"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>CCAATCGTAGATGTTATGCCAG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 xml:space="preserve">Schroeder </w:t>
            </w:r>
            <w:r w:rsidRPr="00A95145">
              <w:rPr>
                <w:kern w:val="0"/>
                <w:szCs w:val="21"/>
              </w:rPr>
              <w:t xml:space="preserve">et al. 2011 </w:t>
            </w:r>
            <w:r w:rsidRPr="00A95145">
              <w:rPr>
                <w:noProof/>
                <w:kern w:val="0"/>
                <w:szCs w:val="21"/>
              </w:rPr>
              <w:t>[1]</w:t>
            </w:r>
          </w:p>
        </w:tc>
      </w:tr>
      <w:tr w:rsidR="006C50D4" w:rsidRPr="00A95145" w:rsidTr="00C0232A">
        <w:tc>
          <w:tcPr>
            <w:tcW w:w="666" w:type="pct"/>
            <w:vMerge/>
            <w:tcBorders>
              <w:bottom w:val="nil"/>
              <w:right w:val="nil"/>
            </w:tcBorders>
          </w:tcPr>
          <w:p w:rsidR="006C50D4" w:rsidRPr="00A95145" w:rsidRDefault="006C50D4" w:rsidP="00920592">
            <w:pPr>
              <w:rPr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4b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>GGATTACGCCCTGGATCATTAG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 xml:space="preserve">Schroeder </w:t>
            </w:r>
            <w:r w:rsidRPr="00A95145">
              <w:rPr>
                <w:kern w:val="0"/>
                <w:szCs w:val="21"/>
              </w:rPr>
              <w:t xml:space="preserve">et al. 2011 </w:t>
            </w:r>
            <w:r w:rsidRPr="00A95145">
              <w:rPr>
                <w:noProof/>
                <w:kern w:val="0"/>
                <w:szCs w:val="21"/>
              </w:rPr>
              <w:t>[1]</w:t>
            </w:r>
          </w:p>
        </w:tc>
      </w:tr>
      <w:tr w:rsidR="006C50D4" w:rsidRPr="00A95145" w:rsidTr="00C0232A">
        <w:tc>
          <w:tcPr>
            <w:tcW w:w="666" w:type="pct"/>
            <w:vMerge w:val="restart"/>
            <w:tcBorders>
              <w:top w:val="nil"/>
              <w:right w:val="nil"/>
            </w:tcBorders>
          </w:tcPr>
          <w:p w:rsidR="006C50D4" w:rsidRPr="00A95145" w:rsidRDefault="006C50D4" w:rsidP="00920592">
            <w:pPr>
              <w:widowControl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ITS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PopF1a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>ACCTGCCTAGCAGAACGAC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This study</w:t>
            </w:r>
          </w:p>
        </w:tc>
      </w:tr>
      <w:tr w:rsidR="006C50D4" w:rsidRPr="00A95145" w:rsidTr="00C0232A">
        <w:tc>
          <w:tcPr>
            <w:tcW w:w="666" w:type="pct"/>
            <w:vMerge/>
            <w:tcBorders>
              <w:right w:val="nil"/>
            </w:tcBorders>
          </w:tcPr>
          <w:p w:rsidR="006C50D4" w:rsidRPr="00A95145" w:rsidRDefault="006C50D4" w:rsidP="00920592">
            <w:pPr>
              <w:rPr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PopF2a</w:t>
            </w:r>
          </w:p>
        </w:tc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  <w:szCs w:val="21"/>
              </w:rPr>
            </w:pPr>
            <w:r w:rsidRPr="00A95145">
              <w:rPr>
                <w:rFonts w:eastAsiaTheme="minorEastAsia"/>
                <w:kern w:val="0"/>
                <w:szCs w:val="21"/>
              </w:rPr>
              <w:t>AAGGATCATTGTCGARACCTG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This study</w:t>
            </w:r>
          </w:p>
        </w:tc>
      </w:tr>
      <w:tr w:rsidR="006C50D4" w:rsidRPr="00A95145" w:rsidTr="00C0232A">
        <w:tc>
          <w:tcPr>
            <w:tcW w:w="666" w:type="pct"/>
            <w:vMerge/>
            <w:tcBorders>
              <w:right w:val="nil"/>
            </w:tcBorders>
          </w:tcPr>
          <w:p w:rsidR="006C50D4" w:rsidRPr="00A95145" w:rsidRDefault="006C50D4" w:rsidP="00920592">
            <w:pPr>
              <w:rPr>
                <w:szCs w:val="21"/>
              </w:rPr>
            </w:pP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A95145">
              <w:rPr>
                <w:kern w:val="0"/>
                <w:szCs w:val="21"/>
              </w:rPr>
              <w:t>ITS 4</w:t>
            </w:r>
          </w:p>
        </w:tc>
        <w:tc>
          <w:tcPr>
            <w:tcW w:w="2355" w:type="pct"/>
            <w:tcBorders>
              <w:top w:val="nil"/>
              <w:left w:val="nil"/>
              <w:right w:val="nil"/>
            </w:tcBorders>
          </w:tcPr>
          <w:p w:rsidR="006C50D4" w:rsidRPr="00A95145" w:rsidRDefault="006C50D4" w:rsidP="00920592">
            <w:pPr>
              <w:autoSpaceDE w:val="0"/>
              <w:autoSpaceDN w:val="0"/>
              <w:adjustRightInd w:val="0"/>
              <w:rPr>
                <w:rFonts w:eastAsiaTheme="minorEastAsia"/>
                <w:kern w:val="0"/>
                <w:szCs w:val="21"/>
              </w:rPr>
            </w:pPr>
            <w:bookmarkStart w:id="2" w:name="OLE_LINK1"/>
            <w:bookmarkStart w:id="3" w:name="OLE_LINK2"/>
            <w:r w:rsidRPr="00A95145">
              <w:rPr>
                <w:rFonts w:eastAsiaTheme="minorEastAsia"/>
                <w:kern w:val="0"/>
                <w:szCs w:val="21"/>
              </w:rPr>
              <w:t>TCCTCCGCTTATTGATATGC</w:t>
            </w:r>
            <w:bookmarkEnd w:id="2"/>
            <w:bookmarkEnd w:id="3"/>
          </w:p>
        </w:tc>
        <w:tc>
          <w:tcPr>
            <w:tcW w:w="1403" w:type="pct"/>
            <w:tcBorders>
              <w:top w:val="nil"/>
              <w:left w:val="nil"/>
            </w:tcBorders>
          </w:tcPr>
          <w:p w:rsidR="006C50D4" w:rsidRPr="00A95145" w:rsidRDefault="006C50D4" w:rsidP="008F3B26">
            <w:pPr>
              <w:rPr>
                <w:szCs w:val="21"/>
              </w:rPr>
            </w:pPr>
            <w:bookmarkStart w:id="4" w:name="OLE_LINK3"/>
            <w:bookmarkStart w:id="5" w:name="OLE_LINK4"/>
            <w:r w:rsidRPr="00A95145">
              <w:rPr>
                <w:szCs w:val="21"/>
              </w:rPr>
              <w:t>White et al. 1990</w:t>
            </w:r>
            <w:bookmarkEnd w:id="4"/>
            <w:bookmarkEnd w:id="5"/>
            <w:r w:rsidRPr="00A95145">
              <w:rPr>
                <w:szCs w:val="21"/>
              </w:rPr>
              <w:t xml:space="preserve"> </w:t>
            </w:r>
            <w:r w:rsidRPr="00A95145">
              <w:rPr>
                <w:noProof/>
                <w:szCs w:val="21"/>
              </w:rPr>
              <w:t>[4]</w:t>
            </w:r>
          </w:p>
        </w:tc>
      </w:tr>
      <w:bookmarkEnd w:id="0"/>
      <w:bookmarkEnd w:id="1"/>
    </w:tbl>
    <w:p w:rsidR="006C50D4" w:rsidRDefault="006C50D4" w:rsidP="005B1E27">
      <w:pPr>
        <w:rPr>
          <w:szCs w:val="21"/>
        </w:rPr>
      </w:pPr>
    </w:p>
    <w:p w:rsidR="006C50D4" w:rsidRPr="00AE1DA2" w:rsidRDefault="006C50D4" w:rsidP="005B1E27">
      <w:pPr>
        <w:rPr>
          <w:b/>
          <w:szCs w:val="21"/>
        </w:rPr>
      </w:pPr>
      <w:r w:rsidRPr="00AE1DA2">
        <w:rPr>
          <w:rFonts w:hint="eastAsia"/>
          <w:b/>
          <w:szCs w:val="21"/>
        </w:rPr>
        <w:t>References:</w:t>
      </w:r>
    </w:p>
    <w:p w:rsidR="006C50D4" w:rsidRPr="00AE1DA2" w:rsidRDefault="006C50D4" w:rsidP="00AE1DA2">
      <w:pPr>
        <w:ind w:left="284" w:hanging="284"/>
        <w:rPr>
          <w:noProof/>
          <w:szCs w:val="21"/>
        </w:rPr>
      </w:pPr>
      <w:r w:rsidRPr="00AE1DA2">
        <w:rPr>
          <w:noProof/>
          <w:szCs w:val="21"/>
        </w:rPr>
        <w:t>1. Schroeder H, Hoeltken AM, Fladung M (2012) Differentiation of Populus species using chloroplast single nucleotide polymorphism (SNP) markers–essential for comprehensible and reliable poplar breeding. Plant Biol (Stuttg) 14: 374-381.</w:t>
      </w:r>
    </w:p>
    <w:p w:rsidR="006C50D4" w:rsidRPr="00AE1DA2" w:rsidRDefault="006C50D4" w:rsidP="00AE1DA2">
      <w:pPr>
        <w:ind w:left="284" w:hanging="284"/>
        <w:rPr>
          <w:noProof/>
          <w:szCs w:val="21"/>
        </w:rPr>
      </w:pPr>
      <w:r w:rsidRPr="00AE1DA2">
        <w:rPr>
          <w:noProof/>
          <w:szCs w:val="21"/>
        </w:rPr>
        <w:t xml:space="preserve">2. Tate JA, Simpson BB (2003) Paraphyly of </w:t>
      </w:r>
      <w:r w:rsidRPr="00AE1DA2">
        <w:rPr>
          <w:i/>
          <w:noProof/>
          <w:szCs w:val="21"/>
        </w:rPr>
        <w:t xml:space="preserve">Tarasa </w:t>
      </w:r>
      <w:r w:rsidRPr="00AE1DA2">
        <w:rPr>
          <w:noProof/>
          <w:szCs w:val="21"/>
        </w:rPr>
        <w:t>(Malvaceae) and diverse origins of the polyploidy species. Syst Bot 28: 723-737.</w:t>
      </w:r>
    </w:p>
    <w:p w:rsidR="006C50D4" w:rsidRPr="00AE1DA2" w:rsidRDefault="006C50D4" w:rsidP="00AE1DA2">
      <w:pPr>
        <w:ind w:left="284" w:hanging="284"/>
        <w:rPr>
          <w:noProof/>
          <w:szCs w:val="21"/>
        </w:rPr>
      </w:pPr>
      <w:r w:rsidRPr="00AE1DA2">
        <w:rPr>
          <w:noProof/>
          <w:szCs w:val="21"/>
        </w:rPr>
        <w:t xml:space="preserve">3. Sang T, Crawford DJ, Stuessy TF (1997) Chloroplast DNA phylogeny, reticulate evolution, and biogeography of </w:t>
      </w:r>
      <w:r w:rsidRPr="00AE1DA2">
        <w:rPr>
          <w:i/>
          <w:noProof/>
          <w:szCs w:val="21"/>
        </w:rPr>
        <w:t xml:space="preserve">Paeonia </w:t>
      </w:r>
      <w:r w:rsidRPr="00AE1DA2">
        <w:rPr>
          <w:noProof/>
          <w:szCs w:val="21"/>
        </w:rPr>
        <w:t>(Paeoniaceae). Am J Bot 84: 1120-1136.</w:t>
      </w:r>
    </w:p>
    <w:p w:rsidR="006C50D4" w:rsidRPr="00AE1DA2" w:rsidRDefault="006C50D4" w:rsidP="00AE1DA2">
      <w:pPr>
        <w:ind w:left="284" w:hanging="284"/>
        <w:rPr>
          <w:b/>
          <w:noProof/>
          <w:color w:val="FF0000"/>
          <w:szCs w:val="21"/>
        </w:rPr>
      </w:pPr>
      <w:r w:rsidRPr="00AE1DA2">
        <w:rPr>
          <w:noProof/>
          <w:szCs w:val="21"/>
        </w:rPr>
        <w:t>4. White TJ, Burns T, Lee S, Taylor J (1990) Amplification and direct sequencing of fungal ribosomal RNA genes for phylogenetics. In: Innis M, Gelfand D, Sninsky J, White T, editors. PCR protocols: a guide to methods and applications. San Diego: Academic Press. pp. 315-322.</w:t>
      </w:r>
    </w:p>
    <w:p w:rsidR="006C50D4" w:rsidRPr="00AE1DA2" w:rsidRDefault="006C50D4" w:rsidP="008F3B26">
      <w:pPr>
        <w:ind w:left="720" w:hanging="720"/>
        <w:rPr>
          <w:b/>
          <w:noProof/>
          <w:color w:val="FF0000"/>
          <w:szCs w:val="21"/>
        </w:rPr>
      </w:pPr>
    </w:p>
    <w:p w:rsidR="006C50D4" w:rsidRPr="00FF61F8" w:rsidRDefault="006C50D4" w:rsidP="005B1E27">
      <w:pPr>
        <w:rPr>
          <w:b/>
          <w:color w:val="FF0000"/>
          <w:szCs w:val="21"/>
        </w:rPr>
      </w:pPr>
    </w:p>
    <w:p w:rsidR="00414B40" w:rsidRDefault="000347A0"/>
    <w:sectPr w:rsidR="00414B40" w:rsidSect="00DB21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A0" w:rsidRDefault="000347A0" w:rsidP="00114F77">
      <w:r>
        <w:separator/>
      </w:r>
    </w:p>
  </w:endnote>
  <w:endnote w:type="continuationSeparator" w:id="1">
    <w:p w:rsidR="000347A0" w:rsidRDefault="000347A0" w:rsidP="0011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A0" w:rsidRDefault="000347A0" w:rsidP="00114F77">
      <w:r>
        <w:separator/>
      </w:r>
    </w:p>
  </w:footnote>
  <w:footnote w:type="continuationSeparator" w:id="1">
    <w:p w:rsidR="000347A0" w:rsidRDefault="000347A0" w:rsidP="00114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6C50D4"/>
    <w:rsid w:val="000347A0"/>
    <w:rsid w:val="000440B6"/>
    <w:rsid w:val="000C76DA"/>
    <w:rsid w:val="00114F77"/>
    <w:rsid w:val="001720A4"/>
    <w:rsid w:val="00201374"/>
    <w:rsid w:val="00207E72"/>
    <w:rsid w:val="00260803"/>
    <w:rsid w:val="00452F84"/>
    <w:rsid w:val="004576F4"/>
    <w:rsid w:val="00566954"/>
    <w:rsid w:val="00686BA9"/>
    <w:rsid w:val="00693076"/>
    <w:rsid w:val="006B66E7"/>
    <w:rsid w:val="006C50D4"/>
    <w:rsid w:val="0081219A"/>
    <w:rsid w:val="00830A02"/>
    <w:rsid w:val="008B2827"/>
    <w:rsid w:val="00912FDF"/>
    <w:rsid w:val="00A95145"/>
    <w:rsid w:val="00AD5E08"/>
    <w:rsid w:val="00B84556"/>
    <w:rsid w:val="00BD4898"/>
    <w:rsid w:val="00C0232A"/>
    <w:rsid w:val="00D90DF5"/>
    <w:rsid w:val="00E71FD3"/>
    <w:rsid w:val="00F24CBA"/>
    <w:rsid w:val="00F607EA"/>
    <w:rsid w:val="00F7316F"/>
    <w:rsid w:val="00F9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0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0D4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6C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0137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0137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0137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0137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0137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0137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013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Cypress</dc:creator>
  <cp:lastModifiedBy>Cypress</cp:lastModifiedBy>
  <cp:revision>2</cp:revision>
  <dcterms:created xsi:type="dcterms:W3CDTF">2013-07-16T14:19:00Z</dcterms:created>
  <dcterms:modified xsi:type="dcterms:W3CDTF">2013-07-16T14:19:00Z</dcterms:modified>
</cp:coreProperties>
</file>