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3" w:rsidRPr="00694B0B" w:rsidRDefault="008318E3" w:rsidP="008318E3">
      <w:pPr>
        <w:spacing w:after="0" w:line="48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694B0B">
        <w:rPr>
          <w:b/>
          <w:sz w:val="24"/>
          <w:szCs w:val="24"/>
          <w:lang w:val="en-US"/>
        </w:rPr>
        <w:t xml:space="preserve">Table </w:t>
      </w:r>
      <w:r w:rsidR="00F367A2">
        <w:rPr>
          <w:b/>
          <w:sz w:val="24"/>
          <w:szCs w:val="24"/>
          <w:lang w:val="en-US"/>
        </w:rPr>
        <w:t>S</w:t>
      </w:r>
      <w:r w:rsidRPr="00694B0B">
        <w:rPr>
          <w:b/>
          <w:sz w:val="24"/>
          <w:szCs w:val="24"/>
          <w:lang w:val="en-US"/>
        </w:rPr>
        <w:t>1:</w:t>
      </w:r>
      <w:r w:rsidRPr="00694B0B">
        <w:rPr>
          <w:sz w:val="24"/>
          <w:szCs w:val="24"/>
          <w:lang w:val="en-US"/>
        </w:rPr>
        <w:t xml:space="preserve"> Urinary pH and urine composition of the cats fed a standard diet</w:t>
      </w:r>
      <w:r w:rsidR="00933285" w:rsidRPr="00694B0B">
        <w:rPr>
          <w:sz w:val="24"/>
          <w:szCs w:val="24"/>
          <w:vertAlign w:val="superscript"/>
          <w:lang w:val="en-US"/>
        </w:rPr>
        <w:t>1</w:t>
      </w:r>
      <w:r w:rsidRPr="00694B0B">
        <w:rPr>
          <w:sz w:val="24"/>
          <w:szCs w:val="24"/>
          <w:lang w:val="en-US"/>
        </w:rPr>
        <w:t xml:space="preserve"> before the beginning of the present study. n = 8 / diet; mean ± </w:t>
      </w:r>
      <w:r w:rsidRPr="00694B0B">
        <w:rPr>
          <w:sz w:val="24"/>
          <w:szCs w:val="24"/>
          <w:lang w:val="en-US" w:eastAsia="de-DE"/>
        </w:rPr>
        <w:t>standard deviation.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94"/>
        <w:gridCol w:w="2277"/>
        <w:gridCol w:w="348"/>
        <w:gridCol w:w="2167"/>
      </w:tblGrid>
      <w:tr w:rsidR="00694B0B" w:rsidRPr="00694B0B" w:rsidTr="008318E3">
        <w:tc>
          <w:tcPr>
            <w:tcW w:w="2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8E3" w:rsidRPr="00694B0B" w:rsidRDefault="008318E3" w:rsidP="008318E3">
            <w:pPr>
              <w:spacing w:after="0" w:line="48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94B0B">
              <w:rPr>
                <w:b/>
                <w:sz w:val="24"/>
                <w:szCs w:val="24"/>
                <w:lang w:val="en-US"/>
              </w:rPr>
              <w:t>Standard Diet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Fasting pH</w:t>
            </w:r>
          </w:p>
        </w:tc>
        <w:tc>
          <w:tcPr>
            <w:tcW w:w="1226" w:type="pct"/>
            <w:vAlign w:val="center"/>
          </w:tcPr>
          <w:p w:rsidR="008318E3" w:rsidRPr="00694B0B" w:rsidRDefault="00102429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7.12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102429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0.65</w:t>
            </w:r>
          </w:p>
        </w:tc>
      </w:tr>
      <w:tr w:rsidR="00694B0B" w:rsidRPr="00694B0B" w:rsidTr="002C228E">
        <w:tc>
          <w:tcPr>
            <w:tcW w:w="2420" w:type="pct"/>
            <w:tcBorders>
              <w:bottom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Postprandial pH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:rsidR="008318E3" w:rsidRPr="00694B0B" w:rsidRDefault="00102429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6.83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8318E3" w:rsidRPr="00694B0B" w:rsidRDefault="00102429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0.84</w:t>
            </w:r>
          </w:p>
        </w:tc>
      </w:tr>
      <w:tr w:rsidR="00694B0B" w:rsidRPr="00694B0B" w:rsidTr="002C228E">
        <w:tc>
          <w:tcPr>
            <w:tcW w:w="2420" w:type="pct"/>
            <w:tcBorders>
              <w:top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694B0B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694B0B">
              <w:rPr>
                <w:sz w:val="24"/>
                <w:szCs w:val="24"/>
                <w:lang w:val="en-US"/>
              </w:rPr>
              <w:t xml:space="preserve"> (mg/l)</w:t>
            </w:r>
          </w:p>
        </w:tc>
        <w:tc>
          <w:tcPr>
            <w:tcW w:w="1226" w:type="pct"/>
            <w:tcBorders>
              <w:top w:val="single" w:sz="4" w:space="0" w:color="auto"/>
            </w:tcBorders>
            <w:vAlign w:val="center"/>
          </w:tcPr>
          <w:p w:rsidR="008318E3" w:rsidRPr="00694B0B" w:rsidRDefault="00A331D6" w:rsidP="003F18F6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5</w:t>
            </w:r>
            <w:r w:rsidR="003F18F6" w:rsidRPr="00694B0B">
              <w:rPr>
                <w:sz w:val="24"/>
                <w:szCs w:val="24"/>
                <w:lang w:val="en-US"/>
              </w:rPr>
              <w:t>1</w:t>
            </w:r>
            <w:r w:rsidRPr="00694B0B">
              <w:rPr>
                <w:sz w:val="24"/>
                <w:szCs w:val="24"/>
                <w:lang w:val="en-US"/>
              </w:rPr>
              <w:t>.</w:t>
            </w:r>
            <w:r w:rsidR="003F18F6" w:rsidRPr="00694B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8318E3" w:rsidRPr="00694B0B" w:rsidRDefault="003F18F6" w:rsidP="003F18F6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22</w:t>
            </w:r>
            <w:r w:rsidR="00A331D6" w:rsidRPr="00694B0B">
              <w:rPr>
                <w:sz w:val="24"/>
                <w:szCs w:val="24"/>
                <w:lang w:val="en-US"/>
              </w:rPr>
              <w:t>.</w:t>
            </w:r>
            <w:r w:rsidRPr="00694B0B">
              <w:rPr>
                <w:sz w:val="24"/>
                <w:szCs w:val="24"/>
                <w:lang w:val="en-US"/>
              </w:rPr>
              <w:t>3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P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939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270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Mg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3F18F6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39</w:t>
            </w:r>
            <w:r w:rsidR="00A331D6" w:rsidRPr="00694B0B">
              <w:rPr>
                <w:sz w:val="24"/>
                <w:szCs w:val="24"/>
                <w:lang w:val="en-US"/>
              </w:rPr>
              <w:t>.</w:t>
            </w:r>
            <w:r w:rsidRPr="00694B0B">
              <w:rPr>
                <w:sz w:val="24"/>
                <w:szCs w:val="24"/>
                <w:lang w:val="en-US"/>
              </w:rPr>
              <w:t>9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K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5140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A331D6" w:rsidP="003F18F6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1</w:t>
            </w:r>
            <w:r w:rsidR="003F18F6" w:rsidRPr="00694B0B">
              <w:rPr>
                <w:sz w:val="24"/>
                <w:szCs w:val="24"/>
                <w:lang w:val="en-US"/>
              </w:rPr>
              <w:t>011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Na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9198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A331D6" w:rsidP="003F18F6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2</w:t>
            </w:r>
            <w:r w:rsidR="003F18F6" w:rsidRPr="00694B0B">
              <w:rPr>
                <w:sz w:val="24"/>
                <w:szCs w:val="24"/>
                <w:lang w:val="en-US"/>
              </w:rPr>
              <w:t>348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Urea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60.5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30.1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694B0B">
              <w:rPr>
                <w:sz w:val="24"/>
                <w:szCs w:val="24"/>
                <w:lang w:val="en-US"/>
              </w:rPr>
              <w:t>Creatinine</w:t>
            </w:r>
            <w:proofErr w:type="spellEnd"/>
            <w:r w:rsidRPr="00694B0B">
              <w:rPr>
                <w:sz w:val="24"/>
                <w:szCs w:val="24"/>
                <w:lang w:val="en-US"/>
              </w:rPr>
              <w:t xml:space="preserve">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2034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517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694B0B">
              <w:rPr>
                <w:sz w:val="24"/>
                <w:szCs w:val="24"/>
                <w:lang w:val="en-US"/>
              </w:rPr>
              <w:t>Sulphate</w:t>
            </w:r>
            <w:proofErr w:type="spellEnd"/>
            <w:r w:rsidRPr="00694B0B">
              <w:rPr>
                <w:sz w:val="24"/>
                <w:szCs w:val="24"/>
                <w:lang w:val="en-US"/>
              </w:rPr>
              <w:t xml:space="preserve">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4048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923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Ox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3</w:t>
            </w:r>
            <w:r w:rsidR="00A331D6" w:rsidRPr="00694B0B">
              <w:rPr>
                <w:sz w:val="24"/>
                <w:szCs w:val="24"/>
                <w:lang w:val="en-US"/>
              </w:rPr>
              <w:t>8.7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Citrate (mg/l)</w:t>
            </w:r>
          </w:p>
        </w:tc>
        <w:tc>
          <w:tcPr>
            <w:tcW w:w="122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79.7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66.2</w:t>
            </w:r>
          </w:p>
        </w:tc>
      </w:tr>
      <w:tr w:rsidR="00694B0B" w:rsidRPr="00694B0B" w:rsidTr="002C228E">
        <w:tc>
          <w:tcPr>
            <w:tcW w:w="2420" w:type="pct"/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Ammonium (mg/l)</w:t>
            </w:r>
          </w:p>
        </w:tc>
        <w:tc>
          <w:tcPr>
            <w:tcW w:w="1226" w:type="pct"/>
            <w:vAlign w:val="center"/>
          </w:tcPr>
          <w:p w:rsidR="008318E3" w:rsidRPr="00694B0B" w:rsidRDefault="00A331D6" w:rsidP="003F18F6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1</w:t>
            </w:r>
            <w:r w:rsidR="003F18F6" w:rsidRPr="00694B0B">
              <w:rPr>
                <w:sz w:val="24"/>
                <w:szCs w:val="24"/>
                <w:lang w:val="en-US"/>
              </w:rPr>
              <w:t>885</w:t>
            </w:r>
          </w:p>
        </w:tc>
        <w:tc>
          <w:tcPr>
            <w:tcW w:w="187" w:type="pct"/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462</w:t>
            </w:r>
          </w:p>
        </w:tc>
      </w:tr>
      <w:tr w:rsidR="00694B0B" w:rsidRPr="00694B0B" w:rsidTr="002C228E">
        <w:tc>
          <w:tcPr>
            <w:tcW w:w="2420" w:type="pct"/>
            <w:tcBorders>
              <w:bottom w:val="single" w:sz="4" w:space="0" w:color="auto"/>
            </w:tcBorders>
            <w:vAlign w:val="center"/>
          </w:tcPr>
          <w:p w:rsidR="008318E3" w:rsidRPr="00694B0B" w:rsidRDefault="008318E3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Nitrogen (g/l)</w:t>
            </w:r>
          </w:p>
        </w:tc>
        <w:tc>
          <w:tcPr>
            <w:tcW w:w="1226" w:type="pct"/>
            <w:tcBorders>
              <w:bottom w:val="single" w:sz="4" w:space="0" w:color="auto"/>
            </w:tcBorders>
            <w:vAlign w:val="center"/>
          </w:tcPr>
          <w:p w:rsidR="008318E3" w:rsidRPr="00694B0B" w:rsidRDefault="003F18F6" w:rsidP="004E0D6B">
            <w:pPr>
              <w:spacing w:after="0" w:line="480" w:lineRule="auto"/>
              <w:jc w:val="right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30.3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8318E3" w:rsidRPr="00694B0B" w:rsidRDefault="008318E3" w:rsidP="004E0D6B">
            <w:pPr>
              <w:jc w:val="center"/>
            </w:pPr>
            <w:r w:rsidRPr="00694B0B">
              <w:rPr>
                <w:sz w:val="24"/>
                <w:szCs w:val="24"/>
                <w:lang w:val="en-US"/>
              </w:rPr>
              <w:t>±</w:t>
            </w:r>
          </w:p>
        </w:tc>
        <w:tc>
          <w:tcPr>
            <w:tcW w:w="1166" w:type="pct"/>
            <w:tcBorders>
              <w:bottom w:val="single" w:sz="4" w:space="0" w:color="auto"/>
            </w:tcBorders>
            <w:vAlign w:val="center"/>
          </w:tcPr>
          <w:p w:rsidR="008318E3" w:rsidRPr="00694B0B" w:rsidRDefault="003F18F6" w:rsidP="004E0D6B">
            <w:pPr>
              <w:spacing w:after="0" w:line="480" w:lineRule="auto"/>
              <w:rPr>
                <w:sz w:val="24"/>
                <w:szCs w:val="24"/>
                <w:lang w:val="en-US"/>
              </w:rPr>
            </w:pPr>
            <w:r w:rsidRPr="00694B0B">
              <w:rPr>
                <w:sz w:val="24"/>
                <w:szCs w:val="24"/>
                <w:lang w:val="en-US"/>
              </w:rPr>
              <w:t>5.72</w:t>
            </w:r>
          </w:p>
        </w:tc>
      </w:tr>
    </w:tbl>
    <w:p w:rsidR="00562A72" w:rsidRPr="00694B0B" w:rsidRDefault="00933285" w:rsidP="000C3B9F">
      <w:pPr>
        <w:pStyle w:val="Kommentartext"/>
        <w:spacing w:after="0" w:line="480" w:lineRule="auto"/>
        <w:contextualSpacing/>
        <w:jc w:val="both"/>
        <w:rPr>
          <w:sz w:val="24"/>
          <w:lang w:val="en-US"/>
        </w:rPr>
      </w:pPr>
      <w:r w:rsidRPr="00694B0B">
        <w:rPr>
          <w:sz w:val="24"/>
          <w:vertAlign w:val="superscript"/>
          <w:lang w:val="en-US"/>
        </w:rPr>
        <w:t>1</w:t>
      </w:r>
      <w:r w:rsidR="008318E3" w:rsidRPr="00694B0B">
        <w:rPr>
          <w:sz w:val="24"/>
          <w:lang w:val="en-US"/>
        </w:rPr>
        <w:t xml:space="preserve">Analyzed composition: </w:t>
      </w:r>
      <w:r w:rsidR="0029712B" w:rsidRPr="00694B0B">
        <w:rPr>
          <w:sz w:val="24"/>
          <w:lang w:val="en-US"/>
        </w:rPr>
        <w:t xml:space="preserve">Dry matter (DM): 929 g/kg, Crude protein: 365 g/kg DM, Crude fat: 105 g/kg DM, Crude </w:t>
      </w:r>
      <w:proofErr w:type="spellStart"/>
      <w:r w:rsidR="0029712B" w:rsidRPr="00694B0B">
        <w:rPr>
          <w:sz w:val="24"/>
          <w:lang w:val="en-US"/>
        </w:rPr>
        <w:t>fibre</w:t>
      </w:r>
      <w:proofErr w:type="spellEnd"/>
      <w:r w:rsidR="0029712B" w:rsidRPr="00694B0B">
        <w:rPr>
          <w:sz w:val="24"/>
          <w:lang w:val="en-US"/>
        </w:rPr>
        <w:t xml:space="preserve">: 33.2 g/kg DM, Crude ash: 83.6 g/kg DM, </w:t>
      </w:r>
      <w:proofErr w:type="spellStart"/>
      <w:r w:rsidR="0029712B" w:rsidRPr="00694B0B">
        <w:rPr>
          <w:sz w:val="24"/>
          <w:lang w:val="en-US"/>
        </w:rPr>
        <w:t>Ca</w:t>
      </w:r>
      <w:proofErr w:type="spellEnd"/>
      <w:r w:rsidR="0029712B" w:rsidRPr="00694B0B">
        <w:rPr>
          <w:sz w:val="24"/>
          <w:lang w:val="en-US"/>
        </w:rPr>
        <w:t>: 13.7 g/kg DM, P: 8.61 g/kg DM, Na: 5.36 g/kg DM, K: 6.35 g/kg DM, Mg: 0.95 g/kg DM</w:t>
      </w:r>
      <w:r w:rsidR="008318E3" w:rsidRPr="00694B0B">
        <w:rPr>
          <w:sz w:val="24"/>
          <w:lang w:val="en-US"/>
        </w:rPr>
        <w:t xml:space="preserve">; </w:t>
      </w:r>
      <w:r w:rsidR="00597BEA" w:rsidRPr="00694B0B">
        <w:rPr>
          <w:sz w:val="24"/>
          <w:lang w:val="en-US"/>
        </w:rPr>
        <w:t xml:space="preserve">Calculated ME: 16.2 MJ/kg DM; </w:t>
      </w:r>
      <w:r w:rsidR="008318E3" w:rsidRPr="00694B0B">
        <w:rPr>
          <w:sz w:val="24"/>
          <w:lang w:val="en-US"/>
        </w:rPr>
        <w:t>Ingredients (according to the manufacturer):</w:t>
      </w:r>
      <w:r w:rsidR="000C3B9F" w:rsidRPr="00694B0B">
        <w:rPr>
          <w:sz w:val="24"/>
          <w:lang w:val="en-US"/>
        </w:rPr>
        <w:t xml:space="preserve"> cereals, meat and animal by-products, vegetable protein extracts, oil, fat, vegetable by-products, minerals, vegetables</w:t>
      </w:r>
    </w:p>
    <w:p w:rsidR="00D67107" w:rsidRPr="00694B0B" w:rsidRDefault="00D67107" w:rsidP="000C3B9F">
      <w:pPr>
        <w:pStyle w:val="Kommentartext"/>
        <w:spacing w:after="0" w:line="480" w:lineRule="auto"/>
        <w:contextualSpacing/>
        <w:jc w:val="both"/>
        <w:rPr>
          <w:sz w:val="24"/>
          <w:lang w:val="en-US"/>
        </w:rPr>
      </w:pPr>
    </w:p>
    <w:p w:rsidR="00DE0401" w:rsidRPr="00694B0B" w:rsidRDefault="00DE0401" w:rsidP="000C3B9F">
      <w:pPr>
        <w:pStyle w:val="Kommentartext"/>
        <w:spacing w:after="0" w:line="480" w:lineRule="auto"/>
        <w:contextualSpacing/>
        <w:jc w:val="both"/>
        <w:rPr>
          <w:lang w:val="en-US"/>
        </w:rPr>
      </w:pPr>
    </w:p>
    <w:sectPr w:rsidR="00DE0401" w:rsidRPr="00694B0B" w:rsidSect="00C17E82">
      <w:footerReference w:type="default" r:id="rId7"/>
      <w:pgSz w:w="11906" w:h="16838" w:code="9"/>
      <w:pgMar w:top="1134" w:right="1418" w:bottom="1418" w:left="1418" w:header="709" w:footer="709" w:gutter="0"/>
      <w:lnNumType w:countBy="1" w:start="827" w:restart="continuous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F3" w:rsidRDefault="007152F3" w:rsidP="00C4468E">
      <w:pPr>
        <w:spacing w:after="0" w:line="240" w:lineRule="auto"/>
      </w:pPr>
      <w:r>
        <w:separator/>
      </w:r>
    </w:p>
  </w:endnote>
  <w:endnote w:type="continuationSeparator" w:id="0">
    <w:p w:rsidR="007152F3" w:rsidRDefault="007152F3" w:rsidP="00C4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25189"/>
      <w:docPartObj>
        <w:docPartGallery w:val="Page Numbers (Bottom of Page)"/>
        <w:docPartUnique/>
      </w:docPartObj>
    </w:sdtPr>
    <w:sdtEndPr/>
    <w:sdtContent>
      <w:p w:rsidR="00C4468E" w:rsidRDefault="00C4468E">
        <w:pPr>
          <w:pStyle w:val="Fuzeile"/>
          <w:jc w:val="center"/>
        </w:pPr>
        <w:r w:rsidRPr="00C4468E">
          <w:rPr>
            <w:sz w:val="24"/>
          </w:rPr>
          <w:fldChar w:fldCharType="begin"/>
        </w:r>
        <w:r w:rsidRPr="00C4468E">
          <w:rPr>
            <w:sz w:val="24"/>
          </w:rPr>
          <w:instrText>PAGE   \* MERGEFORMAT</w:instrText>
        </w:r>
        <w:r w:rsidRPr="00C4468E">
          <w:rPr>
            <w:sz w:val="24"/>
          </w:rPr>
          <w:fldChar w:fldCharType="separate"/>
        </w:r>
        <w:r w:rsidR="00C17E82">
          <w:rPr>
            <w:noProof/>
            <w:sz w:val="24"/>
          </w:rPr>
          <w:t>40</w:t>
        </w:r>
        <w:r w:rsidRPr="00C4468E">
          <w:rPr>
            <w:sz w:val="24"/>
          </w:rPr>
          <w:fldChar w:fldCharType="end"/>
        </w:r>
      </w:p>
    </w:sdtContent>
  </w:sdt>
  <w:p w:rsidR="00C4468E" w:rsidRDefault="00C446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F3" w:rsidRDefault="007152F3" w:rsidP="00C4468E">
      <w:pPr>
        <w:spacing w:after="0" w:line="240" w:lineRule="auto"/>
      </w:pPr>
      <w:r>
        <w:separator/>
      </w:r>
    </w:p>
  </w:footnote>
  <w:footnote w:type="continuationSeparator" w:id="0">
    <w:p w:rsidR="007152F3" w:rsidRDefault="007152F3" w:rsidP="00C4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E3"/>
    <w:rsid w:val="000C3B9F"/>
    <w:rsid w:val="00102429"/>
    <w:rsid w:val="0018141A"/>
    <w:rsid w:val="002931E1"/>
    <w:rsid w:val="0029712B"/>
    <w:rsid w:val="002C228E"/>
    <w:rsid w:val="002C6FCC"/>
    <w:rsid w:val="0030773B"/>
    <w:rsid w:val="00393692"/>
    <w:rsid w:val="003A5FE1"/>
    <w:rsid w:val="003B6243"/>
    <w:rsid w:val="003F18F6"/>
    <w:rsid w:val="00424081"/>
    <w:rsid w:val="00562A72"/>
    <w:rsid w:val="00597BEA"/>
    <w:rsid w:val="0061233B"/>
    <w:rsid w:val="00694B0B"/>
    <w:rsid w:val="00704ADB"/>
    <w:rsid w:val="007112F3"/>
    <w:rsid w:val="007152F3"/>
    <w:rsid w:val="0074068C"/>
    <w:rsid w:val="008318E3"/>
    <w:rsid w:val="00933285"/>
    <w:rsid w:val="00A1166D"/>
    <w:rsid w:val="00A331D6"/>
    <w:rsid w:val="00AE09CC"/>
    <w:rsid w:val="00B510B7"/>
    <w:rsid w:val="00BD690A"/>
    <w:rsid w:val="00C17E82"/>
    <w:rsid w:val="00C4468E"/>
    <w:rsid w:val="00C811AB"/>
    <w:rsid w:val="00D67107"/>
    <w:rsid w:val="00DE0401"/>
    <w:rsid w:val="00E45E32"/>
    <w:rsid w:val="00E823EA"/>
    <w:rsid w:val="00F21FE7"/>
    <w:rsid w:val="00F367A2"/>
    <w:rsid w:val="00F73C8D"/>
    <w:rsid w:val="00F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8E3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C3B9F"/>
    <w:pPr>
      <w:spacing w:line="240" w:lineRule="auto"/>
    </w:pPr>
    <w:rPr>
      <w:rFonts w:cs="Times New Roman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B9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Kommentarzeichen">
    <w:name w:val="annotation reference"/>
    <w:uiPriority w:val="99"/>
    <w:semiHidden/>
    <w:rsid w:val="000C3B9F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B9F"/>
    <w:rPr>
      <w:rFonts w:ascii="Tahoma" w:eastAsia="Calibri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4468E"/>
  </w:style>
  <w:style w:type="paragraph" w:styleId="Kopfzeile">
    <w:name w:val="header"/>
    <w:basedOn w:val="Standard"/>
    <w:link w:val="KopfzeileZchn"/>
    <w:uiPriority w:val="99"/>
    <w:unhideWhenUsed/>
    <w:rsid w:val="00C4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68E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68E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1D6"/>
    <w:rPr>
      <w:rFonts w:cs="Arial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1D6"/>
    <w:rPr>
      <w:rFonts w:ascii="Arial" w:eastAsia="Calibri" w:hAnsi="Arial" w:cs="Arial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18E3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0C3B9F"/>
    <w:pPr>
      <w:spacing w:line="240" w:lineRule="auto"/>
    </w:pPr>
    <w:rPr>
      <w:rFonts w:cs="Times New Roman"/>
      <w:lang w:val="x-none" w:eastAsia="x-non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C3B9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Kommentarzeichen">
    <w:name w:val="annotation reference"/>
    <w:uiPriority w:val="99"/>
    <w:semiHidden/>
    <w:rsid w:val="000C3B9F"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B9F"/>
    <w:rPr>
      <w:rFonts w:ascii="Tahoma" w:eastAsia="Calibri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4468E"/>
  </w:style>
  <w:style w:type="paragraph" w:styleId="Kopfzeile">
    <w:name w:val="header"/>
    <w:basedOn w:val="Standard"/>
    <w:link w:val="KopfzeileZchn"/>
    <w:uiPriority w:val="99"/>
    <w:unhideWhenUsed/>
    <w:rsid w:val="00C4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468E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4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468E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1D6"/>
    <w:rPr>
      <w:rFonts w:cs="Arial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1D6"/>
    <w:rPr>
      <w:rFonts w:ascii="Arial" w:eastAsia="Calibri" w:hAnsi="Arial" w:cs="Arial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Paßlack</dc:creator>
  <cp:lastModifiedBy>Nadine Paßlack</cp:lastModifiedBy>
  <cp:revision>2</cp:revision>
  <cp:lastPrinted>2013-03-27T11:34:00Z</cp:lastPrinted>
  <dcterms:created xsi:type="dcterms:W3CDTF">2013-06-28T08:29:00Z</dcterms:created>
  <dcterms:modified xsi:type="dcterms:W3CDTF">2013-06-28T08:29:00Z</dcterms:modified>
</cp:coreProperties>
</file>