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BB4" w:rsidRPr="006E60E3" w:rsidRDefault="004771BE" w:rsidP="00E326FD">
      <w:pPr>
        <w:ind w:firstLine="0"/>
        <w:rPr>
          <w:rFonts w:ascii="Arial" w:hAnsi="Arial" w:cs="Arial"/>
          <w:b/>
          <w:sz w:val="24"/>
          <w:szCs w:val="24"/>
        </w:rPr>
      </w:pPr>
      <w:bookmarkStart w:id="0" w:name="_GoBack"/>
      <w:bookmarkEnd w:id="0"/>
      <w:r w:rsidRPr="006E60E3">
        <w:rPr>
          <w:rFonts w:ascii="Arial" w:hAnsi="Arial" w:cs="Arial"/>
          <w:b/>
          <w:sz w:val="24"/>
          <w:szCs w:val="24"/>
        </w:rPr>
        <w:t xml:space="preserve">Table </w:t>
      </w:r>
      <w:r w:rsidR="009F1CE6">
        <w:rPr>
          <w:rFonts w:ascii="Arial" w:hAnsi="Arial" w:cs="Arial"/>
          <w:b/>
          <w:sz w:val="24"/>
          <w:szCs w:val="24"/>
        </w:rPr>
        <w:t>S</w:t>
      </w:r>
      <w:r w:rsidR="00C2382C" w:rsidRPr="006E60E3">
        <w:rPr>
          <w:rFonts w:ascii="Arial" w:hAnsi="Arial" w:cs="Arial"/>
          <w:b/>
          <w:sz w:val="24"/>
          <w:szCs w:val="24"/>
        </w:rPr>
        <w:t>4</w:t>
      </w:r>
      <w:r w:rsidR="00E326FD" w:rsidRPr="006E60E3">
        <w:rPr>
          <w:rFonts w:ascii="Arial" w:hAnsi="Arial" w:cs="Arial"/>
          <w:b/>
          <w:sz w:val="24"/>
          <w:szCs w:val="24"/>
        </w:rPr>
        <w:t>.</w:t>
      </w:r>
      <w:r w:rsidR="007E7BB4" w:rsidRPr="006E60E3">
        <w:rPr>
          <w:rFonts w:ascii="Arial" w:hAnsi="Arial" w:cs="Arial"/>
          <w:b/>
          <w:sz w:val="24"/>
          <w:szCs w:val="24"/>
        </w:rPr>
        <w:t xml:space="preserve"> </w:t>
      </w:r>
      <w:proofErr w:type="gramStart"/>
      <w:r w:rsidR="007E7BB4" w:rsidRPr="006E60E3">
        <w:rPr>
          <w:rFonts w:ascii="Arial" w:hAnsi="Arial" w:cs="Arial"/>
          <w:b/>
          <w:sz w:val="24"/>
          <w:szCs w:val="24"/>
        </w:rPr>
        <w:t xml:space="preserve">Ascertainment of and adjustment for antecedent infection in selected prior observational studies </w:t>
      </w:r>
      <w:r w:rsidR="00775819" w:rsidRPr="006E60E3">
        <w:rPr>
          <w:rFonts w:ascii="Arial" w:hAnsi="Arial" w:cs="Arial"/>
          <w:b/>
          <w:sz w:val="24"/>
          <w:szCs w:val="24"/>
        </w:rPr>
        <w:t>of 2009-10 pandemic H1N1 vaccination</w:t>
      </w:r>
      <w:r w:rsidR="007E7BB4" w:rsidRPr="006E60E3">
        <w:rPr>
          <w:rFonts w:ascii="Arial" w:hAnsi="Arial" w:cs="Arial"/>
          <w:b/>
          <w:sz w:val="24"/>
          <w:szCs w:val="24"/>
        </w:rPr>
        <w:t xml:space="preserve"> and </w:t>
      </w:r>
      <w:proofErr w:type="spellStart"/>
      <w:r w:rsidR="007E7BB4" w:rsidRPr="006E60E3">
        <w:rPr>
          <w:rFonts w:ascii="Arial" w:hAnsi="Arial" w:cs="Arial"/>
          <w:b/>
          <w:sz w:val="24"/>
          <w:szCs w:val="24"/>
        </w:rPr>
        <w:t>Guillain-Barré</w:t>
      </w:r>
      <w:proofErr w:type="spellEnd"/>
      <w:r w:rsidR="007E7BB4" w:rsidRPr="006E60E3">
        <w:rPr>
          <w:rFonts w:ascii="Arial" w:hAnsi="Arial" w:cs="Arial"/>
          <w:b/>
          <w:sz w:val="24"/>
          <w:szCs w:val="24"/>
        </w:rPr>
        <w:t xml:space="preserve"> syndrome.</w:t>
      </w:r>
      <w:proofErr w:type="gramEnd"/>
    </w:p>
    <w:p w:rsidR="007E7BB4" w:rsidRPr="007656A8" w:rsidRDefault="007E7BB4" w:rsidP="007E7BB4">
      <w:pPr>
        <w:ind w:firstLine="0"/>
        <w:rPr>
          <w:rFonts w:ascii="Arial" w:hAnsi="Arial" w:cs="Arial"/>
          <w:sz w:val="24"/>
          <w:szCs w:val="24"/>
        </w:rPr>
      </w:pPr>
    </w:p>
    <w:tbl>
      <w:tblPr>
        <w:tblStyle w:val="TableGrid"/>
        <w:tblW w:w="14580" w:type="dxa"/>
        <w:tblInd w:w="-612" w:type="dxa"/>
        <w:tblLook w:val="04A0" w:firstRow="1" w:lastRow="0" w:firstColumn="1" w:lastColumn="0" w:noHBand="0" w:noVBand="1"/>
      </w:tblPr>
      <w:tblGrid>
        <w:gridCol w:w="1461"/>
        <w:gridCol w:w="2050"/>
        <w:gridCol w:w="2033"/>
        <w:gridCol w:w="2319"/>
        <w:gridCol w:w="5342"/>
        <w:gridCol w:w="1375"/>
      </w:tblGrid>
      <w:tr w:rsidR="007E7BB4" w:rsidRPr="007656A8" w:rsidTr="00E15457">
        <w:trPr>
          <w:tblHeader/>
        </w:trPr>
        <w:tc>
          <w:tcPr>
            <w:tcW w:w="0" w:type="auto"/>
          </w:tcPr>
          <w:p w:rsidR="007E7BB4" w:rsidRPr="008D6441" w:rsidRDefault="007E7BB4" w:rsidP="00D80197">
            <w:pPr>
              <w:ind w:firstLine="0"/>
              <w:jc w:val="center"/>
              <w:rPr>
                <w:rFonts w:ascii="Arial" w:hAnsi="Arial" w:cs="Arial"/>
                <w:b/>
                <w:sz w:val="20"/>
                <w:szCs w:val="20"/>
              </w:rPr>
            </w:pPr>
            <w:r w:rsidRPr="008D6441">
              <w:rPr>
                <w:rFonts w:ascii="Arial" w:hAnsi="Arial" w:cs="Arial"/>
                <w:b/>
                <w:sz w:val="20"/>
                <w:szCs w:val="20"/>
              </w:rPr>
              <w:t>Publication</w:t>
            </w:r>
          </w:p>
        </w:tc>
        <w:tc>
          <w:tcPr>
            <w:tcW w:w="0" w:type="auto"/>
          </w:tcPr>
          <w:p w:rsidR="007E7BB4" w:rsidRPr="008D6441" w:rsidRDefault="007E7BB4" w:rsidP="00D80197">
            <w:pPr>
              <w:ind w:firstLine="0"/>
              <w:jc w:val="center"/>
              <w:rPr>
                <w:rFonts w:ascii="Arial" w:hAnsi="Arial" w:cs="Arial"/>
                <w:b/>
                <w:sz w:val="20"/>
                <w:szCs w:val="20"/>
              </w:rPr>
            </w:pPr>
            <w:r w:rsidRPr="008D6441">
              <w:rPr>
                <w:rFonts w:ascii="Arial" w:hAnsi="Arial" w:cs="Arial"/>
                <w:b/>
                <w:sz w:val="20"/>
                <w:szCs w:val="20"/>
              </w:rPr>
              <w:t>Study design</w:t>
            </w:r>
          </w:p>
        </w:tc>
        <w:tc>
          <w:tcPr>
            <w:tcW w:w="0" w:type="auto"/>
          </w:tcPr>
          <w:p w:rsidR="007E7BB4" w:rsidRPr="008D6441" w:rsidRDefault="007E7BB4" w:rsidP="00D80197">
            <w:pPr>
              <w:ind w:firstLine="0"/>
              <w:jc w:val="center"/>
              <w:rPr>
                <w:rFonts w:ascii="Arial" w:hAnsi="Arial" w:cs="Arial"/>
                <w:sz w:val="20"/>
                <w:szCs w:val="20"/>
              </w:rPr>
            </w:pPr>
            <w:r w:rsidRPr="008D6441">
              <w:rPr>
                <w:rFonts w:ascii="Arial" w:hAnsi="Arial" w:cs="Arial"/>
                <w:b/>
                <w:sz w:val="20"/>
                <w:szCs w:val="20"/>
              </w:rPr>
              <w:t>Antecedent infection definition</w:t>
            </w:r>
          </w:p>
        </w:tc>
        <w:tc>
          <w:tcPr>
            <w:tcW w:w="0" w:type="auto"/>
          </w:tcPr>
          <w:p w:rsidR="007E7BB4" w:rsidRPr="008D6441" w:rsidRDefault="007E7BB4" w:rsidP="00D80197">
            <w:pPr>
              <w:ind w:firstLine="0"/>
              <w:jc w:val="center"/>
              <w:rPr>
                <w:rFonts w:ascii="Arial" w:hAnsi="Arial" w:cs="Arial"/>
                <w:b/>
                <w:sz w:val="20"/>
                <w:szCs w:val="20"/>
              </w:rPr>
            </w:pPr>
            <w:r w:rsidRPr="008D6441">
              <w:rPr>
                <w:rFonts w:ascii="Arial" w:hAnsi="Arial" w:cs="Arial"/>
                <w:b/>
                <w:sz w:val="20"/>
                <w:szCs w:val="20"/>
              </w:rPr>
              <w:t>Data source for antecedent infections</w:t>
            </w:r>
          </w:p>
        </w:tc>
        <w:tc>
          <w:tcPr>
            <w:tcW w:w="5342" w:type="dxa"/>
          </w:tcPr>
          <w:p w:rsidR="007E7BB4" w:rsidRPr="008D6441" w:rsidRDefault="007E7BB4" w:rsidP="00D80197">
            <w:pPr>
              <w:ind w:firstLine="0"/>
              <w:jc w:val="center"/>
              <w:rPr>
                <w:rFonts w:ascii="Arial" w:hAnsi="Arial" w:cs="Arial"/>
                <w:b/>
                <w:sz w:val="20"/>
                <w:szCs w:val="20"/>
              </w:rPr>
            </w:pPr>
            <w:r w:rsidRPr="008D6441">
              <w:rPr>
                <w:rFonts w:ascii="Arial" w:hAnsi="Arial" w:cs="Arial"/>
                <w:b/>
                <w:sz w:val="20"/>
                <w:szCs w:val="20"/>
              </w:rPr>
              <w:t>Results</w:t>
            </w:r>
          </w:p>
        </w:tc>
        <w:tc>
          <w:tcPr>
            <w:tcW w:w="1375" w:type="dxa"/>
          </w:tcPr>
          <w:p w:rsidR="007E7BB4" w:rsidRPr="008D6441" w:rsidRDefault="007E7BB4" w:rsidP="00D80197">
            <w:pPr>
              <w:ind w:firstLine="0"/>
              <w:jc w:val="center"/>
              <w:rPr>
                <w:rFonts w:ascii="Arial" w:hAnsi="Arial" w:cs="Arial"/>
                <w:sz w:val="20"/>
                <w:szCs w:val="20"/>
              </w:rPr>
            </w:pPr>
            <w:r w:rsidRPr="008D6441">
              <w:rPr>
                <w:rFonts w:ascii="Arial" w:hAnsi="Arial" w:cs="Arial"/>
                <w:b/>
                <w:sz w:val="20"/>
                <w:szCs w:val="20"/>
              </w:rPr>
              <w:t>Possible limitations regarding infection adjustment</w:t>
            </w:r>
          </w:p>
        </w:tc>
      </w:tr>
      <w:tr w:rsidR="007E7BB4" w:rsidRPr="007656A8" w:rsidTr="00D80197">
        <w:tc>
          <w:tcPr>
            <w:tcW w:w="0" w:type="auto"/>
          </w:tcPr>
          <w:p w:rsidR="007E7BB4" w:rsidRPr="00D5320E" w:rsidRDefault="007E7BB4" w:rsidP="00482415">
            <w:pPr>
              <w:ind w:firstLine="0"/>
              <w:rPr>
                <w:rFonts w:ascii="Arial" w:hAnsi="Arial" w:cs="Arial"/>
                <w:sz w:val="20"/>
                <w:szCs w:val="20"/>
              </w:rPr>
            </w:pPr>
            <w:r w:rsidRPr="00D5320E">
              <w:rPr>
                <w:rFonts w:ascii="Arial" w:hAnsi="Arial" w:cs="Arial"/>
                <w:sz w:val="20"/>
                <w:szCs w:val="20"/>
              </w:rPr>
              <w:t xml:space="preserve">Liang et al., 2011 </w:t>
            </w:r>
            <w:r w:rsidR="00482415">
              <w:rPr>
                <w:rFonts w:ascii="Arial" w:hAnsi="Arial" w:cs="Arial"/>
                <w:sz w:val="20"/>
                <w:szCs w:val="20"/>
              </w:rPr>
              <w:t>[41]</w:t>
            </w:r>
          </w:p>
        </w:tc>
        <w:tc>
          <w:tcPr>
            <w:tcW w:w="0" w:type="auto"/>
          </w:tcPr>
          <w:p w:rsidR="007E7BB4" w:rsidRPr="00D5320E" w:rsidRDefault="007E7BB4" w:rsidP="00D80197">
            <w:pPr>
              <w:autoSpaceDE w:val="0"/>
              <w:autoSpaceDN w:val="0"/>
              <w:adjustRightInd w:val="0"/>
              <w:ind w:firstLine="0"/>
              <w:rPr>
                <w:rFonts w:ascii="Arial" w:eastAsia="OTNEJMQuadraat" w:hAnsi="Arial" w:cs="Arial"/>
                <w:sz w:val="20"/>
                <w:szCs w:val="20"/>
              </w:rPr>
            </w:pPr>
            <w:r w:rsidRPr="00D5320E">
              <w:rPr>
                <w:rFonts w:ascii="Arial" w:hAnsi="Arial" w:cs="Arial"/>
                <w:sz w:val="20"/>
                <w:szCs w:val="20"/>
              </w:rPr>
              <w:t xml:space="preserve">Passive surveillance comparing GBS rates in MIV </w:t>
            </w:r>
            <w:proofErr w:type="spellStart"/>
            <w:r w:rsidRPr="00D5320E">
              <w:rPr>
                <w:rFonts w:ascii="Arial" w:hAnsi="Arial" w:cs="Arial"/>
                <w:sz w:val="20"/>
                <w:szCs w:val="20"/>
              </w:rPr>
              <w:t>vaccinees</w:t>
            </w:r>
            <w:proofErr w:type="spellEnd"/>
            <w:r w:rsidRPr="00D5320E">
              <w:rPr>
                <w:rFonts w:ascii="Arial" w:hAnsi="Arial" w:cs="Arial"/>
                <w:sz w:val="20"/>
                <w:szCs w:val="20"/>
              </w:rPr>
              <w:t xml:space="preserve"> to baseline rates in the </w:t>
            </w:r>
            <w:r w:rsidRPr="00D5320E">
              <w:rPr>
                <w:rFonts w:ascii="Arial" w:eastAsia="OTNEJMQuadraat" w:hAnsi="Arial" w:cs="Arial"/>
                <w:sz w:val="20"/>
                <w:szCs w:val="20"/>
              </w:rPr>
              <w:t>Chinese Acute Flaccid Paralysis</w:t>
            </w:r>
          </w:p>
          <w:p w:rsidR="007E7BB4" w:rsidRPr="00D5320E" w:rsidRDefault="007E7BB4" w:rsidP="00D80197">
            <w:pPr>
              <w:ind w:firstLine="0"/>
              <w:rPr>
                <w:rFonts w:ascii="Arial" w:hAnsi="Arial" w:cs="Arial"/>
                <w:sz w:val="20"/>
                <w:szCs w:val="20"/>
              </w:rPr>
            </w:pPr>
            <w:r w:rsidRPr="00D5320E">
              <w:rPr>
                <w:rFonts w:ascii="Arial" w:eastAsia="OTNEJMQuadraat" w:hAnsi="Arial" w:cs="Arial"/>
                <w:sz w:val="20"/>
                <w:szCs w:val="20"/>
              </w:rPr>
              <w:t>Surveillance System</w:t>
            </w:r>
          </w:p>
        </w:tc>
        <w:tc>
          <w:tcPr>
            <w:tcW w:w="0" w:type="auto"/>
          </w:tcPr>
          <w:p w:rsidR="007E7BB4" w:rsidRPr="00D5320E" w:rsidRDefault="007E7BB4" w:rsidP="00D80197">
            <w:pPr>
              <w:ind w:firstLine="0"/>
              <w:rPr>
                <w:rFonts w:ascii="Arial" w:hAnsi="Arial" w:cs="Arial"/>
                <w:sz w:val="20"/>
                <w:szCs w:val="20"/>
              </w:rPr>
            </w:pPr>
            <w:r w:rsidRPr="00D5320E">
              <w:rPr>
                <w:rFonts w:ascii="Arial" w:hAnsi="Arial" w:cs="Arial"/>
                <w:sz w:val="20"/>
                <w:szCs w:val="20"/>
              </w:rPr>
              <w:t>History of infection</w:t>
            </w:r>
          </w:p>
        </w:tc>
        <w:tc>
          <w:tcPr>
            <w:tcW w:w="0" w:type="auto"/>
          </w:tcPr>
          <w:p w:rsidR="007E7BB4" w:rsidRPr="00D5320E" w:rsidRDefault="007E7BB4" w:rsidP="00D80197">
            <w:pPr>
              <w:autoSpaceDE w:val="0"/>
              <w:autoSpaceDN w:val="0"/>
              <w:adjustRightInd w:val="0"/>
              <w:ind w:firstLine="0"/>
              <w:rPr>
                <w:rFonts w:ascii="Arial" w:hAnsi="Arial" w:cs="Arial"/>
                <w:sz w:val="20"/>
                <w:szCs w:val="20"/>
              </w:rPr>
            </w:pPr>
            <w:r w:rsidRPr="00D5320E">
              <w:rPr>
                <w:rFonts w:ascii="Arial" w:hAnsi="Arial" w:cs="Arial"/>
                <w:sz w:val="20"/>
                <w:szCs w:val="20"/>
              </w:rPr>
              <w:t xml:space="preserve">Passive reports from </w:t>
            </w:r>
            <w:proofErr w:type="spellStart"/>
            <w:r w:rsidRPr="00D5320E">
              <w:rPr>
                <w:rFonts w:ascii="Arial" w:hAnsi="Arial" w:cs="Arial"/>
                <w:sz w:val="20"/>
                <w:szCs w:val="20"/>
              </w:rPr>
              <w:t>vaccinees</w:t>
            </w:r>
            <w:proofErr w:type="spellEnd"/>
          </w:p>
        </w:tc>
        <w:tc>
          <w:tcPr>
            <w:tcW w:w="5342" w:type="dxa"/>
          </w:tcPr>
          <w:p w:rsidR="007E7BB4" w:rsidRPr="00D5320E" w:rsidRDefault="007E7BB4" w:rsidP="00D80197">
            <w:pPr>
              <w:autoSpaceDE w:val="0"/>
              <w:autoSpaceDN w:val="0"/>
              <w:adjustRightInd w:val="0"/>
              <w:ind w:firstLine="0"/>
              <w:rPr>
                <w:rFonts w:ascii="Arial" w:hAnsi="Arial" w:cs="Arial"/>
                <w:sz w:val="20"/>
                <w:szCs w:val="20"/>
              </w:rPr>
            </w:pPr>
            <w:r w:rsidRPr="00D5320E">
              <w:rPr>
                <w:rFonts w:ascii="Arial" w:eastAsia="OTNEJMQuadraat" w:hAnsi="Arial" w:cs="Arial"/>
                <w:sz w:val="20"/>
                <w:szCs w:val="20"/>
              </w:rPr>
              <w:t>Eleven cases of GBS were reported, for a rate of 0.1 per 1 million doses, which was lower than the background rate in China. One of the 11 cases occurred in a patient with a history of infection and was therefore considered coincidental.</w:t>
            </w:r>
          </w:p>
        </w:tc>
        <w:tc>
          <w:tcPr>
            <w:tcW w:w="1375" w:type="dxa"/>
          </w:tcPr>
          <w:p w:rsidR="007E7BB4" w:rsidRPr="00D5320E" w:rsidRDefault="007E7BB4" w:rsidP="00D80197">
            <w:pPr>
              <w:ind w:firstLine="0"/>
              <w:jc w:val="right"/>
              <w:rPr>
                <w:rFonts w:ascii="Arial" w:hAnsi="Arial" w:cs="Arial"/>
                <w:sz w:val="20"/>
                <w:szCs w:val="20"/>
              </w:rPr>
            </w:pPr>
            <w:r w:rsidRPr="00D5320E">
              <w:rPr>
                <w:rFonts w:ascii="Arial" w:hAnsi="Arial" w:cs="Arial"/>
                <w:sz w:val="20"/>
                <w:szCs w:val="20"/>
              </w:rPr>
              <w:t>a, b</w:t>
            </w:r>
          </w:p>
        </w:tc>
      </w:tr>
      <w:tr w:rsidR="007E7BB4" w:rsidRPr="007656A8" w:rsidTr="00D80197">
        <w:tc>
          <w:tcPr>
            <w:tcW w:w="0" w:type="auto"/>
          </w:tcPr>
          <w:p w:rsidR="007E7BB4" w:rsidRPr="00D5320E" w:rsidRDefault="007E7BB4" w:rsidP="00482415">
            <w:pPr>
              <w:ind w:firstLine="0"/>
              <w:rPr>
                <w:rFonts w:ascii="Arial" w:hAnsi="Arial" w:cs="Arial"/>
                <w:sz w:val="20"/>
                <w:szCs w:val="20"/>
              </w:rPr>
            </w:pPr>
            <w:proofErr w:type="spellStart"/>
            <w:r w:rsidRPr="00D5320E">
              <w:rPr>
                <w:rFonts w:ascii="Arial" w:hAnsi="Arial" w:cs="Arial"/>
                <w:sz w:val="20"/>
                <w:szCs w:val="20"/>
              </w:rPr>
              <w:t>Dieleman</w:t>
            </w:r>
            <w:proofErr w:type="spellEnd"/>
            <w:r w:rsidRPr="00D5320E">
              <w:rPr>
                <w:rFonts w:ascii="Arial" w:hAnsi="Arial" w:cs="Arial"/>
                <w:sz w:val="20"/>
                <w:szCs w:val="20"/>
              </w:rPr>
              <w:t xml:space="preserve"> et al., 2011</w:t>
            </w:r>
            <w:r w:rsidR="00482415">
              <w:rPr>
                <w:rFonts w:ascii="Arial" w:hAnsi="Arial" w:cs="Arial"/>
                <w:sz w:val="20"/>
                <w:szCs w:val="20"/>
              </w:rPr>
              <w:t xml:space="preserve"> [42]</w:t>
            </w:r>
          </w:p>
        </w:tc>
        <w:tc>
          <w:tcPr>
            <w:tcW w:w="0" w:type="auto"/>
          </w:tcPr>
          <w:p w:rsidR="007E7BB4" w:rsidRPr="00D5320E" w:rsidRDefault="007E7BB4" w:rsidP="00D80197">
            <w:pPr>
              <w:ind w:firstLine="0"/>
              <w:rPr>
                <w:rFonts w:ascii="Arial" w:hAnsi="Arial" w:cs="Arial"/>
                <w:sz w:val="20"/>
                <w:szCs w:val="20"/>
              </w:rPr>
            </w:pPr>
            <w:r w:rsidRPr="00D5320E">
              <w:rPr>
                <w:rFonts w:ascii="Arial" w:hAnsi="Arial" w:cs="Arial"/>
                <w:sz w:val="20"/>
                <w:szCs w:val="20"/>
              </w:rPr>
              <w:t>Case-control</w:t>
            </w:r>
          </w:p>
        </w:tc>
        <w:tc>
          <w:tcPr>
            <w:tcW w:w="0" w:type="auto"/>
          </w:tcPr>
          <w:p w:rsidR="007E7BB4" w:rsidRPr="00D5320E" w:rsidRDefault="007E7BB4" w:rsidP="00D80197">
            <w:pPr>
              <w:ind w:firstLine="0"/>
              <w:rPr>
                <w:rFonts w:ascii="Arial" w:hAnsi="Arial" w:cs="Arial"/>
                <w:sz w:val="20"/>
                <w:szCs w:val="20"/>
              </w:rPr>
            </w:pPr>
            <w:r w:rsidRPr="00D5320E">
              <w:rPr>
                <w:rFonts w:ascii="Arial" w:eastAsia="FreeSans" w:hAnsi="Arial" w:cs="Arial"/>
                <w:sz w:val="20"/>
                <w:szCs w:val="20"/>
              </w:rPr>
              <w:t>Influenza-like illness/upper respiratory tract infection in prior six weeks</w:t>
            </w:r>
          </w:p>
        </w:tc>
        <w:tc>
          <w:tcPr>
            <w:tcW w:w="0" w:type="auto"/>
          </w:tcPr>
          <w:p w:rsidR="007E7BB4" w:rsidRPr="00D5320E" w:rsidRDefault="007E7BB4" w:rsidP="00D80197">
            <w:pPr>
              <w:autoSpaceDE w:val="0"/>
              <w:autoSpaceDN w:val="0"/>
              <w:adjustRightInd w:val="0"/>
              <w:ind w:firstLine="0"/>
              <w:rPr>
                <w:rFonts w:ascii="Arial" w:hAnsi="Arial" w:cs="Arial"/>
                <w:sz w:val="20"/>
                <w:szCs w:val="20"/>
              </w:rPr>
            </w:pPr>
            <w:r w:rsidRPr="00D5320E">
              <w:rPr>
                <w:rFonts w:ascii="Arial" w:eastAsia="FreeSerif" w:hAnsi="Arial" w:cs="Arial"/>
                <w:sz w:val="20"/>
                <w:szCs w:val="20"/>
              </w:rPr>
              <w:t>General practice records (UK and the Netherlands), hospital medical records (France), and structured interview (Sweden)</w:t>
            </w:r>
          </w:p>
        </w:tc>
        <w:tc>
          <w:tcPr>
            <w:tcW w:w="5342" w:type="dxa"/>
          </w:tcPr>
          <w:p w:rsidR="007E7BB4" w:rsidRPr="00D5320E" w:rsidRDefault="007E7BB4" w:rsidP="00D80197">
            <w:pPr>
              <w:ind w:firstLine="0"/>
              <w:rPr>
                <w:rFonts w:ascii="Arial" w:hAnsi="Arial" w:cs="Arial"/>
                <w:sz w:val="20"/>
                <w:szCs w:val="20"/>
              </w:rPr>
            </w:pPr>
            <w:r w:rsidRPr="00D5320E">
              <w:rPr>
                <w:rFonts w:ascii="Arial" w:hAnsi="Arial" w:cs="Arial"/>
                <w:sz w:val="20"/>
                <w:szCs w:val="20"/>
              </w:rPr>
              <w:t>T</w:t>
            </w:r>
            <w:r w:rsidRPr="00D5320E">
              <w:rPr>
                <w:rFonts w:ascii="Arial" w:eastAsia="FreeSerif" w:hAnsi="Arial" w:cs="Arial"/>
                <w:sz w:val="20"/>
                <w:szCs w:val="20"/>
              </w:rPr>
              <w:t>he increase in risk of GBS associated with pandemic influenza vaccination in unadjusted analyses disappeared upon adjustment through regression for influenza-like illness/upper respiratory tract infections and seasonal influenza vaccination (adjusted OR</w:t>
            </w:r>
            <w:r w:rsidR="00DF065D" w:rsidRPr="00D5320E">
              <w:rPr>
                <w:rFonts w:ascii="Arial" w:eastAsia="FreeSerif" w:hAnsi="Arial" w:cs="Arial"/>
                <w:sz w:val="20"/>
                <w:szCs w:val="20"/>
              </w:rPr>
              <w:t>: 1.0, 95% CI: 0.3-</w:t>
            </w:r>
            <w:r w:rsidRPr="00D5320E">
              <w:rPr>
                <w:rFonts w:ascii="Arial" w:eastAsia="FreeSerif" w:hAnsi="Arial" w:cs="Arial"/>
                <w:sz w:val="20"/>
                <w:szCs w:val="20"/>
              </w:rPr>
              <w:t>2.7).</w:t>
            </w:r>
          </w:p>
        </w:tc>
        <w:tc>
          <w:tcPr>
            <w:tcW w:w="1375" w:type="dxa"/>
          </w:tcPr>
          <w:p w:rsidR="007E7BB4" w:rsidRPr="00D5320E" w:rsidRDefault="007E7BB4" w:rsidP="00D80197">
            <w:pPr>
              <w:ind w:firstLine="0"/>
              <w:jc w:val="right"/>
              <w:rPr>
                <w:rFonts w:ascii="Arial" w:hAnsi="Arial" w:cs="Arial"/>
                <w:sz w:val="20"/>
                <w:szCs w:val="20"/>
              </w:rPr>
            </w:pPr>
            <w:r w:rsidRPr="00D5320E">
              <w:rPr>
                <w:rFonts w:ascii="Arial" w:hAnsi="Arial" w:cs="Arial"/>
                <w:sz w:val="20"/>
                <w:szCs w:val="20"/>
              </w:rPr>
              <w:t>c</w:t>
            </w:r>
          </w:p>
        </w:tc>
      </w:tr>
      <w:tr w:rsidR="007E7BB4" w:rsidRPr="007656A8" w:rsidTr="00D80197">
        <w:tc>
          <w:tcPr>
            <w:tcW w:w="0" w:type="auto"/>
          </w:tcPr>
          <w:p w:rsidR="007E7BB4" w:rsidRPr="00D5320E" w:rsidRDefault="007E7BB4" w:rsidP="00482415">
            <w:pPr>
              <w:ind w:firstLine="0"/>
              <w:rPr>
                <w:rFonts w:ascii="Arial" w:hAnsi="Arial" w:cs="Arial"/>
                <w:sz w:val="20"/>
                <w:szCs w:val="20"/>
              </w:rPr>
            </w:pPr>
            <w:proofErr w:type="spellStart"/>
            <w:r w:rsidRPr="00D5320E">
              <w:rPr>
                <w:rFonts w:ascii="Arial" w:hAnsi="Arial" w:cs="Arial"/>
                <w:sz w:val="20"/>
                <w:szCs w:val="20"/>
              </w:rPr>
              <w:t>Grimaldi-Bensouda</w:t>
            </w:r>
            <w:proofErr w:type="spellEnd"/>
            <w:r w:rsidRPr="00D5320E">
              <w:rPr>
                <w:rFonts w:ascii="Arial" w:hAnsi="Arial" w:cs="Arial"/>
                <w:sz w:val="20"/>
                <w:szCs w:val="20"/>
              </w:rPr>
              <w:t xml:space="preserve"> et al., 2011 </w:t>
            </w:r>
            <w:r w:rsidR="00482415">
              <w:rPr>
                <w:rFonts w:ascii="Arial" w:hAnsi="Arial" w:cs="Arial"/>
                <w:sz w:val="20"/>
                <w:szCs w:val="20"/>
              </w:rPr>
              <w:t>[40]</w:t>
            </w:r>
          </w:p>
        </w:tc>
        <w:tc>
          <w:tcPr>
            <w:tcW w:w="0" w:type="auto"/>
          </w:tcPr>
          <w:p w:rsidR="007E7BB4" w:rsidRPr="00D5320E" w:rsidRDefault="007E7BB4" w:rsidP="00D80197">
            <w:pPr>
              <w:ind w:firstLine="0"/>
              <w:rPr>
                <w:rFonts w:ascii="Arial" w:hAnsi="Arial" w:cs="Arial"/>
                <w:sz w:val="20"/>
                <w:szCs w:val="20"/>
              </w:rPr>
            </w:pPr>
            <w:r w:rsidRPr="00D5320E">
              <w:rPr>
                <w:rFonts w:ascii="Arial" w:hAnsi="Arial" w:cs="Arial"/>
                <w:sz w:val="20"/>
                <w:szCs w:val="20"/>
              </w:rPr>
              <w:t>Case-control</w:t>
            </w:r>
          </w:p>
        </w:tc>
        <w:tc>
          <w:tcPr>
            <w:tcW w:w="0" w:type="auto"/>
          </w:tcPr>
          <w:p w:rsidR="007E7BB4" w:rsidRPr="00D5320E" w:rsidRDefault="007E7BB4" w:rsidP="00D80197">
            <w:pPr>
              <w:ind w:firstLine="0"/>
              <w:rPr>
                <w:rFonts w:ascii="Arial" w:hAnsi="Arial" w:cs="Arial"/>
                <w:sz w:val="20"/>
                <w:szCs w:val="20"/>
              </w:rPr>
            </w:pPr>
            <w:r w:rsidRPr="00D5320E">
              <w:rPr>
                <w:rFonts w:ascii="Arial" w:hAnsi="Arial" w:cs="Arial"/>
                <w:sz w:val="20"/>
                <w:szCs w:val="20"/>
              </w:rPr>
              <w:t>Report of influenza or influenza-like symptoms in prior two months</w:t>
            </w:r>
          </w:p>
        </w:tc>
        <w:tc>
          <w:tcPr>
            <w:tcW w:w="0" w:type="auto"/>
          </w:tcPr>
          <w:p w:rsidR="007E7BB4" w:rsidRPr="00D5320E" w:rsidRDefault="007E7BB4" w:rsidP="00D80197">
            <w:pPr>
              <w:ind w:firstLine="0"/>
              <w:rPr>
                <w:rFonts w:ascii="Arial" w:hAnsi="Arial" w:cs="Arial"/>
                <w:sz w:val="20"/>
                <w:szCs w:val="20"/>
              </w:rPr>
            </w:pPr>
            <w:r w:rsidRPr="00D5320E">
              <w:rPr>
                <w:rFonts w:ascii="Arial" w:hAnsi="Arial" w:cs="Arial"/>
                <w:sz w:val="20"/>
                <w:szCs w:val="20"/>
              </w:rPr>
              <w:t>Patient telephone interview</w:t>
            </w:r>
          </w:p>
        </w:tc>
        <w:tc>
          <w:tcPr>
            <w:tcW w:w="5342" w:type="dxa"/>
          </w:tcPr>
          <w:p w:rsidR="007E7BB4" w:rsidRPr="00D5320E" w:rsidRDefault="007E7BB4" w:rsidP="00D80197">
            <w:pPr>
              <w:ind w:firstLine="0"/>
              <w:rPr>
                <w:rFonts w:ascii="Arial" w:hAnsi="Arial" w:cs="Arial"/>
                <w:sz w:val="20"/>
                <w:szCs w:val="20"/>
              </w:rPr>
            </w:pPr>
            <w:r w:rsidRPr="00D5320E">
              <w:rPr>
                <w:rFonts w:ascii="Arial" w:hAnsi="Arial" w:cs="Arial"/>
                <w:sz w:val="20"/>
                <w:szCs w:val="20"/>
              </w:rPr>
              <w:t>GBS was not associated with influenza A (H1N1) vaccine (a</w:t>
            </w:r>
            <w:r w:rsidR="00DF065D" w:rsidRPr="00D5320E">
              <w:rPr>
                <w:rFonts w:ascii="Arial" w:hAnsi="Arial" w:cs="Arial"/>
                <w:sz w:val="20"/>
                <w:szCs w:val="20"/>
              </w:rPr>
              <w:t>djusted OR: 0.92, 95% CI: 0.11-</w:t>
            </w:r>
            <w:r w:rsidRPr="00D5320E">
              <w:rPr>
                <w:rFonts w:ascii="Arial" w:hAnsi="Arial" w:cs="Arial"/>
                <w:sz w:val="20"/>
                <w:szCs w:val="20"/>
              </w:rPr>
              <w:t>7.55), but the point estimate of the association between GBS and infection was elevated (a</w:t>
            </w:r>
            <w:r w:rsidR="00DF065D" w:rsidRPr="00D5320E">
              <w:rPr>
                <w:rFonts w:ascii="Arial" w:hAnsi="Arial" w:cs="Arial"/>
                <w:sz w:val="20"/>
                <w:szCs w:val="20"/>
              </w:rPr>
              <w:t>djusted OR: 2.11, 95% CI: 0.57-</w:t>
            </w:r>
            <w:r w:rsidRPr="00D5320E">
              <w:rPr>
                <w:rFonts w:ascii="Arial" w:hAnsi="Arial" w:cs="Arial"/>
                <w:sz w:val="20"/>
                <w:szCs w:val="20"/>
              </w:rPr>
              <w:t>7.73).</w:t>
            </w:r>
          </w:p>
        </w:tc>
        <w:tc>
          <w:tcPr>
            <w:tcW w:w="1375" w:type="dxa"/>
          </w:tcPr>
          <w:p w:rsidR="007E7BB4" w:rsidRPr="00D5320E" w:rsidRDefault="007E7BB4" w:rsidP="00D80197">
            <w:pPr>
              <w:ind w:firstLine="0"/>
              <w:jc w:val="right"/>
              <w:rPr>
                <w:rFonts w:ascii="Arial" w:hAnsi="Arial" w:cs="Arial"/>
                <w:sz w:val="20"/>
                <w:szCs w:val="20"/>
              </w:rPr>
            </w:pPr>
            <w:r w:rsidRPr="00D5320E">
              <w:rPr>
                <w:rFonts w:ascii="Arial" w:hAnsi="Arial" w:cs="Arial"/>
                <w:sz w:val="20"/>
                <w:szCs w:val="20"/>
              </w:rPr>
              <w:t>c</w:t>
            </w:r>
          </w:p>
        </w:tc>
      </w:tr>
      <w:tr w:rsidR="007E7BB4" w:rsidRPr="007656A8" w:rsidTr="00D80197">
        <w:tc>
          <w:tcPr>
            <w:tcW w:w="0" w:type="auto"/>
          </w:tcPr>
          <w:p w:rsidR="007E7BB4" w:rsidRPr="00D5320E" w:rsidRDefault="007E7BB4" w:rsidP="00482415">
            <w:pPr>
              <w:ind w:firstLine="0"/>
              <w:rPr>
                <w:rFonts w:ascii="Arial" w:hAnsi="Arial" w:cs="Arial"/>
                <w:sz w:val="20"/>
                <w:szCs w:val="20"/>
              </w:rPr>
            </w:pPr>
            <w:r w:rsidRPr="00D5320E">
              <w:rPr>
                <w:rFonts w:ascii="Arial" w:hAnsi="Arial" w:cs="Arial"/>
                <w:sz w:val="20"/>
                <w:szCs w:val="20"/>
              </w:rPr>
              <w:t xml:space="preserve">Andrews et al., 2011 </w:t>
            </w:r>
            <w:r w:rsidR="00482415">
              <w:rPr>
                <w:rFonts w:ascii="Arial" w:hAnsi="Arial" w:cs="Arial"/>
                <w:sz w:val="20"/>
                <w:szCs w:val="20"/>
              </w:rPr>
              <w:t>[45]</w:t>
            </w:r>
          </w:p>
        </w:tc>
        <w:tc>
          <w:tcPr>
            <w:tcW w:w="0" w:type="auto"/>
          </w:tcPr>
          <w:p w:rsidR="007E7BB4" w:rsidRPr="00D5320E" w:rsidRDefault="007E7BB4" w:rsidP="00D80197">
            <w:pPr>
              <w:ind w:firstLine="0"/>
              <w:rPr>
                <w:rFonts w:ascii="Arial" w:hAnsi="Arial" w:cs="Arial"/>
                <w:sz w:val="20"/>
                <w:szCs w:val="20"/>
              </w:rPr>
            </w:pPr>
            <w:r w:rsidRPr="00D5320E">
              <w:rPr>
                <w:rFonts w:ascii="Arial" w:hAnsi="Arial" w:cs="Arial"/>
                <w:sz w:val="20"/>
                <w:szCs w:val="20"/>
              </w:rPr>
              <w:t>Self-controlled case series</w:t>
            </w:r>
          </w:p>
        </w:tc>
        <w:tc>
          <w:tcPr>
            <w:tcW w:w="0" w:type="auto"/>
          </w:tcPr>
          <w:p w:rsidR="007E7BB4" w:rsidRPr="00D5320E" w:rsidRDefault="007E7BB4" w:rsidP="00D80197">
            <w:pPr>
              <w:ind w:firstLine="0"/>
              <w:rPr>
                <w:rFonts w:ascii="Arial" w:eastAsia="FreeSans" w:hAnsi="Arial" w:cs="Arial"/>
                <w:sz w:val="20"/>
                <w:szCs w:val="20"/>
              </w:rPr>
            </w:pPr>
            <w:r w:rsidRPr="00D5320E">
              <w:rPr>
                <w:rFonts w:ascii="Arial" w:eastAsia="FreeSans" w:hAnsi="Arial" w:cs="Arial"/>
                <w:sz w:val="20"/>
                <w:szCs w:val="20"/>
              </w:rPr>
              <w:t>Preceding infection, including influenza</w:t>
            </w:r>
          </w:p>
        </w:tc>
        <w:tc>
          <w:tcPr>
            <w:tcW w:w="0" w:type="auto"/>
          </w:tcPr>
          <w:p w:rsidR="007E7BB4" w:rsidRPr="00D5320E" w:rsidRDefault="007E7BB4" w:rsidP="00D80197">
            <w:pPr>
              <w:autoSpaceDE w:val="0"/>
              <w:autoSpaceDN w:val="0"/>
              <w:adjustRightInd w:val="0"/>
              <w:ind w:firstLine="0"/>
              <w:rPr>
                <w:rFonts w:ascii="Arial" w:eastAsia="FreeSerif" w:hAnsi="Arial" w:cs="Arial"/>
                <w:sz w:val="20"/>
                <w:szCs w:val="20"/>
              </w:rPr>
            </w:pPr>
            <w:r w:rsidRPr="00D5320E">
              <w:rPr>
                <w:rFonts w:ascii="Arial" w:eastAsia="FreeSans" w:hAnsi="Arial" w:cs="Arial"/>
                <w:sz w:val="20"/>
                <w:szCs w:val="20"/>
              </w:rPr>
              <w:t>General practitioner reports</w:t>
            </w:r>
          </w:p>
        </w:tc>
        <w:tc>
          <w:tcPr>
            <w:tcW w:w="5342" w:type="dxa"/>
          </w:tcPr>
          <w:p w:rsidR="007E7BB4" w:rsidRPr="00D5320E" w:rsidRDefault="007E7BB4" w:rsidP="00D80197">
            <w:pPr>
              <w:ind w:firstLine="0"/>
              <w:rPr>
                <w:rFonts w:ascii="Arial" w:hAnsi="Arial" w:cs="Arial"/>
                <w:sz w:val="20"/>
                <w:szCs w:val="20"/>
              </w:rPr>
            </w:pPr>
            <w:r w:rsidRPr="00D5320E">
              <w:rPr>
                <w:rFonts w:ascii="Arial" w:hAnsi="Arial" w:cs="Arial"/>
                <w:sz w:val="20"/>
                <w:szCs w:val="20"/>
              </w:rPr>
              <w:t>No pandemic vaccine recipients had an infection reported prior to onset. No association between GBS and pandemic influenza vaccine was identified (relative</w:t>
            </w:r>
            <w:r w:rsidR="00DF065D" w:rsidRPr="00D5320E">
              <w:rPr>
                <w:rFonts w:ascii="Arial" w:hAnsi="Arial" w:cs="Arial"/>
                <w:sz w:val="20"/>
                <w:szCs w:val="20"/>
              </w:rPr>
              <w:t xml:space="preserve"> incidence: 1.05, 95% CI: 0.37-</w:t>
            </w:r>
            <w:r w:rsidRPr="00D5320E">
              <w:rPr>
                <w:rFonts w:ascii="Arial" w:hAnsi="Arial" w:cs="Arial"/>
                <w:sz w:val="20"/>
                <w:szCs w:val="20"/>
              </w:rPr>
              <w:t>2.24).</w:t>
            </w:r>
          </w:p>
        </w:tc>
        <w:tc>
          <w:tcPr>
            <w:tcW w:w="1375" w:type="dxa"/>
          </w:tcPr>
          <w:p w:rsidR="007E7BB4" w:rsidRPr="00D5320E" w:rsidRDefault="007E7BB4" w:rsidP="00D80197">
            <w:pPr>
              <w:ind w:firstLine="0"/>
              <w:jc w:val="right"/>
              <w:rPr>
                <w:rFonts w:ascii="Arial" w:hAnsi="Arial" w:cs="Arial"/>
                <w:sz w:val="20"/>
                <w:szCs w:val="20"/>
              </w:rPr>
            </w:pPr>
            <w:r w:rsidRPr="00D5320E">
              <w:rPr>
                <w:rFonts w:ascii="Arial" w:hAnsi="Arial" w:cs="Arial"/>
                <w:sz w:val="20"/>
                <w:szCs w:val="20"/>
              </w:rPr>
              <w:t>d</w:t>
            </w:r>
          </w:p>
        </w:tc>
      </w:tr>
      <w:tr w:rsidR="007E7BB4" w:rsidRPr="007656A8" w:rsidTr="00D80197">
        <w:tc>
          <w:tcPr>
            <w:tcW w:w="0" w:type="auto"/>
          </w:tcPr>
          <w:p w:rsidR="007E7BB4" w:rsidRPr="00D5320E" w:rsidRDefault="007E7BB4" w:rsidP="00482415">
            <w:pPr>
              <w:ind w:firstLine="0"/>
              <w:rPr>
                <w:rFonts w:ascii="Arial" w:hAnsi="Arial" w:cs="Arial"/>
                <w:sz w:val="20"/>
                <w:szCs w:val="20"/>
              </w:rPr>
            </w:pPr>
            <w:r w:rsidRPr="00D5320E">
              <w:rPr>
                <w:rFonts w:ascii="Arial" w:hAnsi="Arial" w:cs="Arial"/>
                <w:sz w:val="20"/>
                <w:szCs w:val="20"/>
              </w:rPr>
              <w:t xml:space="preserve">Verity et al., 2011 </w:t>
            </w:r>
            <w:r w:rsidR="00482415">
              <w:rPr>
                <w:rFonts w:ascii="Arial" w:hAnsi="Arial" w:cs="Arial"/>
                <w:sz w:val="20"/>
                <w:szCs w:val="20"/>
              </w:rPr>
              <w:t>[43]</w:t>
            </w:r>
          </w:p>
        </w:tc>
        <w:tc>
          <w:tcPr>
            <w:tcW w:w="0" w:type="auto"/>
          </w:tcPr>
          <w:p w:rsidR="007E7BB4" w:rsidRPr="00D5320E" w:rsidRDefault="007E7BB4" w:rsidP="00D80197">
            <w:pPr>
              <w:ind w:firstLine="0"/>
              <w:rPr>
                <w:rFonts w:ascii="Arial" w:hAnsi="Arial" w:cs="Arial"/>
                <w:sz w:val="20"/>
                <w:szCs w:val="20"/>
              </w:rPr>
            </w:pPr>
            <w:r w:rsidRPr="00D5320E">
              <w:rPr>
                <w:rFonts w:ascii="Arial" w:hAnsi="Arial" w:cs="Arial"/>
                <w:sz w:val="20"/>
                <w:szCs w:val="20"/>
              </w:rPr>
              <w:t>Active surveillance comparing GBS rates in estimated person-time exposed vs. background rate from literature</w:t>
            </w:r>
          </w:p>
        </w:tc>
        <w:tc>
          <w:tcPr>
            <w:tcW w:w="0" w:type="auto"/>
          </w:tcPr>
          <w:p w:rsidR="007E7BB4" w:rsidRPr="00D5320E" w:rsidRDefault="007E7BB4" w:rsidP="00D80197">
            <w:pPr>
              <w:autoSpaceDE w:val="0"/>
              <w:autoSpaceDN w:val="0"/>
              <w:adjustRightInd w:val="0"/>
              <w:ind w:firstLine="0"/>
              <w:rPr>
                <w:rFonts w:ascii="Arial" w:hAnsi="Arial" w:cs="Arial"/>
                <w:sz w:val="20"/>
                <w:szCs w:val="20"/>
              </w:rPr>
            </w:pPr>
            <w:r w:rsidRPr="00D5320E">
              <w:rPr>
                <w:rFonts w:ascii="Arial" w:hAnsi="Arial" w:cs="Arial"/>
                <w:sz w:val="20"/>
                <w:szCs w:val="20"/>
              </w:rPr>
              <w:t>Clinical and/or laboratory</w:t>
            </w:r>
          </w:p>
          <w:p w:rsidR="007E7BB4" w:rsidRPr="00D5320E" w:rsidRDefault="007E7BB4" w:rsidP="00D80197">
            <w:pPr>
              <w:autoSpaceDE w:val="0"/>
              <w:autoSpaceDN w:val="0"/>
              <w:adjustRightInd w:val="0"/>
              <w:ind w:firstLine="0"/>
              <w:rPr>
                <w:rFonts w:ascii="Arial" w:hAnsi="Arial" w:cs="Arial"/>
                <w:sz w:val="20"/>
                <w:szCs w:val="20"/>
              </w:rPr>
            </w:pPr>
            <w:r w:rsidRPr="00D5320E">
              <w:rPr>
                <w:rFonts w:ascii="Arial" w:hAnsi="Arial" w:cs="Arial"/>
                <w:sz w:val="20"/>
                <w:szCs w:val="20"/>
              </w:rPr>
              <w:t>evidence of an infection in</w:t>
            </w:r>
          </w:p>
          <w:p w:rsidR="007E7BB4" w:rsidRPr="00D5320E" w:rsidRDefault="007E7BB4" w:rsidP="00D80197">
            <w:pPr>
              <w:autoSpaceDE w:val="0"/>
              <w:autoSpaceDN w:val="0"/>
              <w:adjustRightInd w:val="0"/>
              <w:ind w:firstLine="0"/>
              <w:rPr>
                <w:rFonts w:ascii="Arial" w:hAnsi="Arial" w:cs="Arial"/>
                <w:sz w:val="20"/>
                <w:szCs w:val="20"/>
              </w:rPr>
            </w:pPr>
            <w:r w:rsidRPr="00D5320E">
              <w:rPr>
                <w:rFonts w:ascii="Arial" w:hAnsi="Arial" w:cs="Arial"/>
                <w:sz w:val="20"/>
                <w:szCs w:val="20"/>
              </w:rPr>
              <w:t>prior 3 months</w:t>
            </w:r>
          </w:p>
        </w:tc>
        <w:tc>
          <w:tcPr>
            <w:tcW w:w="0" w:type="auto"/>
          </w:tcPr>
          <w:p w:rsidR="007E7BB4" w:rsidRPr="00D5320E" w:rsidRDefault="007E7BB4" w:rsidP="00D80197">
            <w:pPr>
              <w:autoSpaceDE w:val="0"/>
              <w:autoSpaceDN w:val="0"/>
              <w:adjustRightInd w:val="0"/>
              <w:ind w:firstLine="0"/>
              <w:rPr>
                <w:rFonts w:ascii="Arial" w:eastAsia="FreeSans" w:hAnsi="Arial" w:cs="Arial"/>
                <w:sz w:val="20"/>
                <w:szCs w:val="20"/>
              </w:rPr>
            </w:pPr>
            <w:r w:rsidRPr="00D5320E">
              <w:rPr>
                <w:rFonts w:ascii="Arial" w:eastAsia="FreeSans" w:hAnsi="Arial" w:cs="Arial"/>
                <w:sz w:val="20"/>
                <w:szCs w:val="20"/>
              </w:rPr>
              <w:t xml:space="preserve">Questionnaires to pediatricians who reported cases to the </w:t>
            </w:r>
            <w:r w:rsidRPr="00D5320E">
              <w:rPr>
                <w:rFonts w:ascii="Arial" w:hAnsi="Arial" w:cs="Arial"/>
                <w:sz w:val="20"/>
                <w:szCs w:val="20"/>
              </w:rPr>
              <w:t xml:space="preserve">British </w:t>
            </w:r>
            <w:proofErr w:type="spellStart"/>
            <w:r w:rsidRPr="00D5320E">
              <w:rPr>
                <w:rFonts w:ascii="Arial" w:hAnsi="Arial" w:cs="Arial"/>
                <w:sz w:val="20"/>
                <w:szCs w:val="20"/>
              </w:rPr>
              <w:t>Paediatric</w:t>
            </w:r>
            <w:proofErr w:type="spellEnd"/>
            <w:r w:rsidRPr="00D5320E">
              <w:rPr>
                <w:rFonts w:ascii="Arial" w:hAnsi="Arial" w:cs="Arial"/>
                <w:sz w:val="20"/>
                <w:szCs w:val="20"/>
              </w:rPr>
              <w:t xml:space="preserve"> Surveillance Unit system</w:t>
            </w:r>
          </w:p>
        </w:tc>
        <w:tc>
          <w:tcPr>
            <w:tcW w:w="5342" w:type="dxa"/>
          </w:tcPr>
          <w:p w:rsidR="007E7BB4" w:rsidRPr="00D5320E" w:rsidRDefault="007E7BB4" w:rsidP="00D80197">
            <w:pPr>
              <w:autoSpaceDE w:val="0"/>
              <w:autoSpaceDN w:val="0"/>
              <w:adjustRightInd w:val="0"/>
              <w:ind w:firstLine="0"/>
              <w:rPr>
                <w:rFonts w:ascii="Arial" w:hAnsi="Arial" w:cs="Arial"/>
                <w:sz w:val="20"/>
                <w:szCs w:val="20"/>
              </w:rPr>
            </w:pPr>
            <w:r w:rsidRPr="00D5320E">
              <w:rPr>
                <w:rFonts w:ascii="Arial" w:hAnsi="Arial" w:cs="Arial"/>
                <w:sz w:val="20"/>
                <w:szCs w:val="20"/>
              </w:rPr>
              <w:t>One GBS case was observed with onset within 6 weeks of H1N1 vaccination, consistent with the published background rate. Of 57 GBS/FS cases identified during the study period, 49 had an antecedent infection</w:t>
            </w:r>
          </w:p>
        </w:tc>
        <w:tc>
          <w:tcPr>
            <w:tcW w:w="1375" w:type="dxa"/>
          </w:tcPr>
          <w:p w:rsidR="007E7BB4" w:rsidRPr="00D5320E" w:rsidRDefault="007E7BB4" w:rsidP="00D80197">
            <w:pPr>
              <w:ind w:firstLine="0"/>
              <w:jc w:val="right"/>
              <w:rPr>
                <w:rFonts w:ascii="Arial" w:hAnsi="Arial" w:cs="Arial"/>
                <w:sz w:val="20"/>
                <w:szCs w:val="20"/>
              </w:rPr>
            </w:pPr>
            <w:r w:rsidRPr="00D5320E">
              <w:rPr>
                <w:rFonts w:ascii="Arial" w:hAnsi="Arial" w:cs="Arial"/>
                <w:sz w:val="20"/>
                <w:szCs w:val="20"/>
              </w:rPr>
              <w:t>d, e</w:t>
            </w:r>
          </w:p>
        </w:tc>
      </w:tr>
      <w:tr w:rsidR="007E7BB4" w:rsidRPr="007656A8" w:rsidTr="00D80197">
        <w:tc>
          <w:tcPr>
            <w:tcW w:w="0" w:type="auto"/>
          </w:tcPr>
          <w:p w:rsidR="007E7BB4" w:rsidRPr="00D5320E" w:rsidRDefault="007E7BB4" w:rsidP="002C644A">
            <w:pPr>
              <w:ind w:firstLine="0"/>
              <w:rPr>
                <w:rFonts w:ascii="Arial" w:hAnsi="Arial" w:cs="Arial"/>
                <w:sz w:val="20"/>
                <w:szCs w:val="20"/>
              </w:rPr>
            </w:pPr>
            <w:r w:rsidRPr="00D5320E">
              <w:rPr>
                <w:rFonts w:ascii="Arial" w:hAnsi="Arial" w:cs="Arial"/>
                <w:sz w:val="20"/>
                <w:szCs w:val="20"/>
              </w:rPr>
              <w:t xml:space="preserve">Wise et al., 2012 </w:t>
            </w:r>
            <w:r w:rsidR="002C644A">
              <w:rPr>
                <w:rFonts w:ascii="Arial" w:hAnsi="Arial" w:cs="Arial"/>
                <w:sz w:val="20"/>
                <w:szCs w:val="20"/>
              </w:rPr>
              <w:t>[17]</w:t>
            </w:r>
          </w:p>
        </w:tc>
        <w:tc>
          <w:tcPr>
            <w:tcW w:w="0" w:type="auto"/>
          </w:tcPr>
          <w:p w:rsidR="007E7BB4" w:rsidRPr="00D5320E" w:rsidRDefault="007E7BB4" w:rsidP="00D80197">
            <w:pPr>
              <w:ind w:firstLine="0"/>
              <w:rPr>
                <w:rFonts w:ascii="Arial" w:hAnsi="Arial" w:cs="Arial"/>
                <w:sz w:val="20"/>
                <w:szCs w:val="20"/>
              </w:rPr>
            </w:pPr>
            <w:r w:rsidRPr="00D5320E">
              <w:rPr>
                <w:rFonts w:ascii="Arial" w:hAnsi="Arial" w:cs="Arial"/>
                <w:sz w:val="20"/>
                <w:szCs w:val="20"/>
              </w:rPr>
              <w:t xml:space="preserve">Active surveillance comparing GBS rates in estimated </w:t>
            </w:r>
            <w:r w:rsidRPr="00D5320E">
              <w:rPr>
                <w:rFonts w:ascii="Arial" w:hAnsi="Arial" w:cs="Arial"/>
                <w:sz w:val="20"/>
                <w:szCs w:val="20"/>
              </w:rPr>
              <w:lastRenderedPageBreak/>
              <w:t>person-time exposed vs. unexposed to MIV</w:t>
            </w:r>
          </w:p>
        </w:tc>
        <w:tc>
          <w:tcPr>
            <w:tcW w:w="0" w:type="auto"/>
          </w:tcPr>
          <w:p w:rsidR="007E7BB4" w:rsidRPr="00D5320E" w:rsidRDefault="007E7BB4" w:rsidP="00D80197">
            <w:pPr>
              <w:autoSpaceDE w:val="0"/>
              <w:autoSpaceDN w:val="0"/>
              <w:adjustRightInd w:val="0"/>
              <w:ind w:firstLine="0"/>
              <w:rPr>
                <w:rFonts w:ascii="Arial" w:hAnsi="Arial" w:cs="Arial"/>
                <w:sz w:val="20"/>
                <w:szCs w:val="20"/>
              </w:rPr>
            </w:pPr>
            <w:r w:rsidRPr="00D5320E">
              <w:rPr>
                <w:rFonts w:ascii="Arial" w:hAnsi="Arial" w:cs="Arial"/>
                <w:sz w:val="20"/>
                <w:szCs w:val="20"/>
              </w:rPr>
              <w:lastRenderedPageBreak/>
              <w:t>Upper respiratory or</w:t>
            </w:r>
          </w:p>
          <w:p w:rsidR="007E7BB4" w:rsidRPr="00D5320E" w:rsidRDefault="007E7BB4" w:rsidP="00D80197">
            <w:pPr>
              <w:ind w:firstLine="0"/>
              <w:rPr>
                <w:rFonts w:ascii="Arial" w:eastAsia="FreeSans" w:hAnsi="Arial" w:cs="Arial"/>
                <w:sz w:val="20"/>
                <w:szCs w:val="20"/>
              </w:rPr>
            </w:pPr>
            <w:r w:rsidRPr="00D5320E">
              <w:rPr>
                <w:rFonts w:ascii="Arial" w:hAnsi="Arial" w:cs="Arial"/>
                <w:sz w:val="20"/>
                <w:szCs w:val="20"/>
              </w:rPr>
              <w:t xml:space="preserve">influenza-like symptoms, </w:t>
            </w:r>
            <w:r w:rsidRPr="00D5320E">
              <w:rPr>
                <w:rFonts w:ascii="Arial" w:hAnsi="Arial" w:cs="Arial"/>
                <w:sz w:val="20"/>
                <w:szCs w:val="20"/>
              </w:rPr>
              <w:lastRenderedPageBreak/>
              <w:t>gastrointestinal symptoms in prior 6 weeks</w:t>
            </w:r>
          </w:p>
        </w:tc>
        <w:tc>
          <w:tcPr>
            <w:tcW w:w="0" w:type="auto"/>
          </w:tcPr>
          <w:p w:rsidR="007E7BB4" w:rsidRPr="00D5320E" w:rsidRDefault="007E7BB4" w:rsidP="00CF7208">
            <w:pPr>
              <w:autoSpaceDE w:val="0"/>
              <w:autoSpaceDN w:val="0"/>
              <w:adjustRightInd w:val="0"/>
              <w:ind w:firstLine="0"/>
              <w:rPr>
                <w:rFonts w:ascii="Arial" w:eastAsia="FreeSans" w:hAnsi="Arial" w:cs="Arial"/>
                <w:sz w:val="20"/>
                <w:szCs w:val="20"/>
              </w:rPr>
            </w:pPr>
            <w:r w:rsidRPr="00D5320E">
              <w:rPr>
                <w:rFonts w:ascii="Arial" w:eastAsia="FreeSans" w:hAnsi="Arial" w:cs="Arial"/>
                <w:sz w:val="20"/>
                <w:szCs w:val="20"/>
              </w:rPr>
              <w:lastRenderedPageBreak/>
              <w:t>Medical record review</w:t>
            </w:r>
            <w:r w:rsidR="00A8210B">
              <w:rPr>
                <w:rFonts w:ascii="Arial" w:eastAsia="FreeSans" w:hAnsi="Arial" w:cs="Arial"/>
                <w:sz w:val="20"/>
                <w:szCs w:val="20"/>
              </w:rPr>
              <w:t>, p</w:t>
            </w:r>
            <w:r w:rsidR="00A8210B" w:rsidRPr="00D5320E">
              <w:rPr>
                <w:rFonts w:ascii="Arial" w:hAnsi="Arial" w:cs="Arial"/>
                <w:sz w:val="20"/>
                <w:szCs w:val="20"/>
              </w:rPr>
              <w:t xml:space="preserve">atient telephone </w:t>
            </w:r>
            <w:r w:rsidR="00CF7208">
              <w:rPr>
                <w:rFonts w:ascii="Arial" w:hAnsi="Arial" w:cs="Arial"/>
                <w:sz w:val="20"/>
                <w:szCs w:val="20"/>
              </w:rPr>
              <w:t>survey</w:t>
            </w:r>
          </w:p>
        </w:tc>
        <w:tc>
          <w:tcPr>
            <w:tcW w:w="5342" w:type="dxa"/>
          </w:tcPr>
          <w:p w:rsidR="007E7BB4" w:rsidRPr="00D5320E" w:rsidRDefault="007E7BB4" w:rsidP="00DF065D">
            <w:pPr>
              <w:autoSpaceDE w:val="0"/>
              <w:autoSpaceDN w:val="0"/>
              <w:adjustRightInd w:val="0"/>
              <w:ind w:firstLine="0"/>
              <w:rPr>
                <w:rFonts w:ascii="Arial" w:hAnsi="Arial" w:cs="Arial"/>
                <w:sz w:val="20"/>
                <w:szCs w:val="20"/>
              </w:rPr>
            </w:pPr>
            <w:r w:rsidRPr="00D5320E">
              <w:rPr>
                <w:rFonts w:ascii="Arial" w:hAnsi="Arial" w:cs="Arial"/>
                <w:sz w:val="20"/>
                <w:szCs w:val="20"/>
              </w:rPr>
              <w:t xml:space="preserve">The rate of GBS immediately following pH1N1 vaccine was 57% higher than in unexposed person-time (age- and sex-adjusted rate ratio = 1.57, 95% </w:t>
            </w:r>
            <w:r w:rsidR="00DF065D" w:rsidRPr="00D5320E">
              <w:rPr>
                <w:rFonts w:ascii="Arial" w:hAnsi="Arial" w:cs="Arial"/>
                <w:sz w:val="20"/>
                <w:szCs w:val="20"/>
              </w:rPr>
              <w:t>CI: 1.02-</w:t>
            </w:r>
            <w:r w:rsidRPr="00D5320E">
              <w:rPr>
                <w:rFonts w:ascii="Arial" w:hAnsi="Arial" w:cs="Arial"/>
                <w:sz w:val="20"/>
                <w:szCs w:val="20"/>
              </w:rPr>
              <w:t xml:space="preserve">2.21). </w:t>
            </w:r>
            <w:r w:rsidRPr="00D5320E">
              <w:rPr>
                <w:rFonts w:ascii="Arial" w:hAnsi="Arial" w:cs="Arial"/>
                <w:sz w:val="20"/>
                <w:szCs w:val="20"/>
              </w:rPr>
              <w:lastRenderedPageBreak/>
              <w:t xml:space="preserve">Antecedent upper respiratory or </w:t>
            </w:r>
            <w:proofErr w:type="spellStart"/>
            <w:r w:rsidRPr="00D5320E">
              <w:rPr>
                <w:rFonts w:ascii="Arial" w:hAnsi="Arial" w:cs="Arial"/>
                <w:sz w:val="20"/>
                <w:szCs w:val="20"/>
              </w:rPr>
              <w:t>influenzalike</w:t>
            </w:r>
            <w:proofErr w:type="spellEnd"/>
            <w:r w:rsidRPr="00D5320E">
              <w:rPr>
                <w:rFonts w:ascii="Arial" w:hAnsi="Arial" w:cs="Arial"/>
                <w:sz w:val="20"/>
                <w:szCs w:val="20"/>
              </w:rPr>
              <w:t xml:space="preserve"> symptoms were significantly less common among cases who received pH1N1 vaccine (38%) than among those who did not (67%).</w:t>
            </w:r>
          </w:p>
        </w:tc>
        <w:tc>
          <w:tcPr>
            <w:tcW w:w="1375" w:type="dxa"/>
          </w:tcPr>
          <w:p w:rsidR="007E7BB4" w:rsidRPr="00D5320E" w:rsidRDefault="007E7BB4" w:rsidP="00D80197">
            <w:pPr>
              <w:ind w:firstLine="0"/>
              <w:jc w:val="right"/>
              <w:rPr>
                <w:rFonts w:ascii="Arial" w:hAnsi="Arial" w:cs="Arial"/>
                <w:sz w:val="20"/>
                <w:szCs w:val="20"/>
              </w:rPr>
            </w:pPr>
            <w:r w:rsidRPr="00D5320E">
              <w:rPr>
                <w:rFonts w:ascii="Arial" w:hAnsi="Arial" w:cs="Arial"/>
                <w:sz w:val="20"/>
                <w:szCs w:val="20"/>
              </w:rPr>
              <w:lastRenderedPageBreak/>
              <w:t>d, e</w:t>
            </w:r>
          </w:p>
        </w:tc>
      </w:tr>
      <w:tr w:rsidR="007E7BB4" w:rsidRPr="007656A8" w:rsidTr="00D80197">
        <w:tc>
          <w:tcPr>
            <w:tcW w:w="0" w:type="auto"/>
          </w:tcPr>
          <w:p w:rsidR="007E7BB4" w:rsidRPr="00D5320E" w:rsidRDefault="007E7BB4" w:rsidP="002C644A">
            <w:pPr>
              <w:ind w:firstLine="0"/>
              <w:rPr>
                <w:rFonts w:ascii="Arial" w:hAnsi="Arial" w:cs="Arial"/>
                <w:sz w:val="20"/>
                <w:szCs w:val="20"/>
              </w:rPr>
            </w:pPr>
            <w:proofErr w:type="spellStart"/>
            <w:r w:rsidRPr="00D5320E">
              <w:rPr>
                <w:rFonts w:ascii="Arial" w:hAnsi="Arial" w:cs="Arial"/>
                <w:sz w:val="20"/>
                <w:szCs w:val="20"/>
              </w:rPr>
              <w:lastRenderedPageBreak/>
              <w:t>Tokars</w:t>
            </w:r>
            <w:proofErr w:type="spellEnd"/>
            <w:r w:rsidRPr="00D5320E">
              <w:rPr>
                <w:rFonts w:ascii="Arial" w:hAnsi="Arial" w:cs="Arial"/>
                <w:sz w:val="20"/>
                <w:szCs w:val="20"/>
              </w:rPr>
              <w:t xml:space="preserve"> et al., 2012 </w:t>
            </w:r>
            <w:r w:rsidR="002C644A">
              <w:rPr>
                <w:rFonts w:ascii="Arial" w:hAnsi="Arial" w:cs="Arial"/>
                <w:sz w:val="20"/>
                <w:szCs w:val="20"/>
              </w:rPr>
              <w:t>[16]</w:t>
            </w:r>
          </w:p>
        </w:tc>
        <w:tc>
          <w:tcPr>
            <w:tcW w:w="0" w:type="auto"/>
          </w:tcPr>
          <w:p w:rsidR="007E7BB4" w:rsidRPr="00D5320E" w:rsidRDefault="007E7BB4" w:rsidP="00D80197">
            <w:pPr>
              <w:ind w:firstLine="0"/>
              <w:rPr>
                <w:rFonts w:ascii="Arial" w:hAnsi="Arial" w:cs="Arial"/>
                <w:sz w:val="20"/>
                <w:szCs w:val="20"/>
              </w:rPr>
            </w:pPr>
            <w:r w:rsidRPr="00D5320E">
              <w:rPr>
                <w:rFonts w:ascii="Arial" w:hAnsi="Arial" w:cs="Arial"/>
                <w:sz w:val="20"/>
                <w:szCs w:val="20"/>
              </w:rPr>
              <w:t>Self-controlled</w:t>
            </w:r>
          </w:p>
        </w:tc>
        <w:tc>
          <w:tcPr>
            <w:tcW w:w="0" w:type="auto"/>
          </w:tcPr>
          <w:p w:rsidR="007E7BB4" w:rsidRPr="00D5320E" w:rsidRDefault="007E7BB4" w:rsidP="00BC0ECA">
            <w:pPr>
              <w:ind w:firstLine="0"/>
              <w:rPr>
                <w:rFonts w:ascii="Arial" w:eastAsia="FreeSans" w:hAnsi="Arial" w:cs="Arial"/>
                <w:sz w:val="20"/>
                <w:szCs w:val="20"/>
              </w:rPr>
            </w:pPr>
            <w:r w:rsidRPr="00D5320E">
              <w:rPr>
                <w:rFonts w:ascii="Arial" w:eastAsia="FreeSans" w:hAnsi="Arial" w:cs="Arial"/>
                <w:sz w:val="20"/>
                <w:szCs w:val="20"/>
              </w:rPr>
              <w:t xml:space="preserve">Same as Wise et al. </w:t>
            </w:r>
            <w:r w:rsidR="001957B5" w:rsidRPr="00D5320E">
              <w:rPr>
                <w:rFonts w:ascii="Arial" w:eastAsia="FreeSans" w:hAnsi="Arial" w:cs="Arial"/>
                <w:sz w:val="20"/>
                <w:szCs w:val="20"/>
              </w:rPr>
              <w:fldChar w:fldCharType="begin"/>
            </w:r>
            <w:r w:rsidR="00CA30FB">
              <w:rPr>
                <w:rFonts w:ascii="Arial" w:eastAsia="FreeSans" w:hAnsi="Arial" w:cs="Arial"/>
                <w:sz w:val="20"/>
                <w:szCs w:val="20"/>
              </w:rPr>
              <w:instrText xml:space="preserve"> ADDIN EN.CITE &lt;EndNote&gt;&lt;Cite&gt;&lt;Author&gt;Wise&lt;/Author&gt;&lt;Year&gt;2012&lt;/Year&gt;&lt;RecNum&gt;49&lt;/RecNum&gt;&lt;record&gt;&lt;rec-number&gt;49&lt;/rec-number&gt;&lt;foreign-keys&gt;&lt;key app="EN" db-id="095rreewszvztvea9t9pstv6zwswzv5xf2pw"&gt;49&lt;/key&gt;&lt;/foreign-keys&gt;&lt;ref-type name="Journal Article"&gt;17&lt;/ref-type&gt;&lt;contributors&gt;&lt;authors&gt;&lt;author&gt;Wise, M. E.&lt;/author&gt;&lt;author&gt;Viray, M.&lt;/author&gt;&lt;author&gt;Sejvar, J. J.&lt;/author&gt;&lt;author&gt;Lewis, P.&lt;/author&gt;&lt;author&gt;Baughman, A. L.&lt;/author&gt;&lt;author&gt;Connor, W.&lt;/author&gt;&lt;author&gt;Danila, R.&lt;/author&gt;&lt;author&gt;Giambrone, G. P.&lt;/author&gt;&lt;author&gt;Hale, C.&lt;/author&gt;&lt;author&gt;Hogan, B. C.&lt;/author&gt;&lt;author&gt;Meek, J. I.&lt;/author&gt;&lt;author&gt;Murphree, R.&lt;/author&gt;&lt;author&gt;Oh, J. Y.&lt;/author&gt;&lt;author&gt;Reingold, A.&lt;/author&gt;&lt;author&gt;Tellman, N.&lt;/author&gt;&lt;author&gt;Conner, S. M.&lt;/author&gt;&lt;author&gt;Singleton, J. A.&lt;/author&gt;&lt;author&gt;Lu, P. J.&lt;/author&gt;&lt;author&gt;Destefano, F.&lt;/author&gt;&lt;author&gt;Fridkin, S. K.&lt;/author&gt;&lt;author&gt;Vellozzi, C.&lt;/author&gt;&lt;author&gt;Morgan, O. W.&lt;/author&gt;&lt;/authors&gt;&lt;/contributors&gt;&lt;titles&gt;&lt;title&gt;Guillain-Barré syndrome during the 2009-2010 H1N1 influenza vaccination campaign: population-based surveillance among 45 million Americans&lt;/title&gt;&lt;secondary-title&gt;Am J Epidemiol&lt;/secondary-title&gt;&lt;/titles&gt;&lt;periodical&gt;&lt;full-title&gt;Am J Epidemiol&lt;/full-title&gt;&lt;/periodical&gt;&lt;pages&gt;1110-9&lt;/pages&gt;&lt;volume&gt;175&lt;/volume&gt;&lt;number&gt;11&lt;/number&gt;&lt;edition&gt;2012/05/15&lt;/edition&gt;&lt;dates&gt;&lt;year&gt;2012&lt;/year&gt;&lt;pub-dates&gt;&lt;date&gt;Jun 1&lt;/date&gt;&lt;/pub-dates&gt;&lt;/dates&gt;&lt;isbn&gt;1476-6256 (Electronic)&amp;#xD;0002-9262 (Linking)&lt;/isbn&gt;&lt;accession-num&gt;22582209&lt;/accession-num&gt;&lt;urls&gt;&lt;related-urls&gt;&lt;url&gt;http://www.ncbi.nlm.nih.gov/entrez/query.fcgi?cmd=Retrieve&amp;amp;db=PubMed&amp;amp;dopt=Citation&amp;amp;list_uids=22582209&lt;/url&gt;&lt;/related-urls&gt;&lt;/urls&gt;&lt;electronic-resource-num&gt;kws196 [pii]&amp;#xD;10.1093/aje/kws196&lt;/electronic-resource-num&gt;&lt;language&gt;eng&lt;/language&gt;&lt;/record&gt;&lt;/Cite&gt;&lt;/EndNote&gt;</w:instrText>
            </w:r>
            <w:r w:rsidR="001957B5" w:rsidRPr="00D5320E">
              <w:rPr>
                <w:rFonts w:ascii="Arial" w:eastAsia="FreeSans" w:hAnsi="Arial" w:cs="Arial"/>
                <w:sz w:val="20"/>
                <w:szCs w:val="20"/>
              </w:rPr>
              <w:fldChar w:fldCharType="separate"/>
            </w:r>
            <w:r w:rsidR="00BC0ECA" w:rsidRPr="00BC0ECA">
              <w:rPr>
                <w:rFonts w:ascii="Arial" w:eastAsia="FreeSans" w:hAnsi="Arial" w:cs="Arial"/>
                <w:noProof/>
                <w:sz w:val="20"/>
                <w:szCs w:val="20"/>
                <w:vertAlign w:val="superscript"/>
              </w:rPr>
              <w:t>17</w:t>
            </w:r>
            <w:r w:rsidR="001957B5" w:rsidRPr="00D5320E">
              <w:rPr>
                <w:rFonts w:ascii="Arial" w:eastAsia="FreeSans" w:hAnsi="Arial" w:cs="Arial"/>
                <w:sz w:val="20"/>
                <w:szCs w:val="20"/>
              </w:rPr>
              <w:fldChar w:fldCharType="end"/>
            </w:r>
          </w:p>
        </w:tc>
        <w:tc>
          <w:tcPr>
            <w:tcW w:w="0" w:type="auto"/>
          </w:tcPr>
          <w:p w:rsidR="007E7BB4" w:rsidRPr="00D5320E" w:rsidRDefault="007E7BB4" w:rsidP="00BC0ECA">
            <w:pPr>
              <w:autoSpaceDE w:val="0"/>
              <w:autoSpaceDN w:val="0"/>
              <w:adjustRightInd w:val="0"/>
              <w:ind w:firstLine="0"/>
              <w:rPr>
                <w:rFonts w:ascii="Arial" w:eastAsia="FreeSans" w:hAnsi="Arial" w:cs="Arial"/>
                <w:sz w:val="20"/>
                <w:szCs w:val="20"/>
              </w:rPr>
            </w:pPr>
            <w:r w:rsidRPr="00D5320E">
              <w:rPr>
                <w:rFonts w:ascii="Arial" w:eastAsia="FreeSans" w:hAnsi="Arial" w:cs="Arial"/>
                <w:sz w:val="20"/>
                <w:szCs w:val="20"/>
              </w:rPr>
              <w:t xml:space="preserve">Same as Wise et al. </w:t>
            </w:r>
            <w:r w:rsidR="001957B5" w:rsidRPr="00D5320E">
              <w:rPr>
                <w:rFonts w:ascii="Arial" w:eastAsia="FreeSans" w:hAnsi="Arial" w:cs="Arial"/>
                <w:sz w:val="20"/>
                <w:szCs w:val="20"/>
              </w:rPr>
              <w:fldChar w:fldCharType="begin"/>
            </w:r>
            <w:r w:rsidR="00CA30FB">
              <w:rPr>
                <w:rFonts w:ascii="Arial" w:eastAsia="FreeSans" w:hAnsi="Arial" w:cs="Arial"/>
                <w:sz w:val="20"/>
                <w:szCs w:val="20"/>
              </w:rPr>
              <w:instrText xml:space="preserve"> ADDIN EN.CITE &lt;EndNote&gt;&lt;Cite&gt;&lt;Author&gt;Wise&lt;/Author&gt;&lt;Year&gt;2012&lt;/Year&gt;&lt;RecNum&gt;49&lt;/RecNum&gt;&lt;record&gt;&lt;rec-number&gt;49&lt;/rec-number&gt;&lt;foreign-keys&gt;&lt;key app="EN" db-id="095rreewszvztvea9t9pstv6zwswzv5xf2pw"&gt;49&lt;/key&gt;&lt;/foreign-keys&gt;&lt;ref-type name="Journal Article"&gt;17&lt;/ref-type&gt;&lt;contributors&gt;&lt;authors&gt;&lt;author&gt;Wise, M. E.&lt;/author&gt;&lt;author&gt;Viray, M.&lt;/author&gt;&lt;author&gt;Sejvar, J. J.&lt;/author&gt;&lt;author&gt;Lewis, P.&lt;/author&gt;&lt;author&gt;Baughman, A. L.&lt;/author&gt;&lt;author&gt;Connor, W.&lt;/author&gt;&lt;author&gt;Danila, R.&lt;/author&gt;&lt;author&gt;Giambrone, G. P.&lt;/author&gt;&lt;author&gt;Hale, C.&lt;/author&gt;&lt;author&gt;Hogan, B. C.&lt;/author&gt;&lt;author&gt;Meek, J. I.&lt;/author&gt;&lt;author&gt;Murphree, R.&lt;/author&gt;&lt;author&gt;Oh, J. Y.&lt;/author&gt;&lt;author&gt;Reingold, A.&lt;/author&gt;&lt;author&gt;Tellman, N.&lt;/author&gt;&lt;author&gt;Conner, S. M.&lt;/author&gt;&lt;author&gt;Singleton, J. A.&lt;/author&gt;&lt;author&gt;Lu, P. J.&lt;/author&gt;&lt;author&gt;Destefano, F.&lt;/author&gt;&lt;author&gt;Fridkin, S. K.&lt;/author&gt;&lt;author&gt;Vellozzi, C.&lt;/author&gt;&lt;author&gt;Morgan, O. W.&lt;/author&gt;&lt;/authors&gt;&lt;/contributors&gt;&lt;titles&gt;&lt;title&gt;Guillain-Barré syndrome during the 2009-2010 H1N1 influenza vaccination campaign: population-based surveillance among 45 million Americans&lt;/title&gt;&lt;secondary-title&gt;Am J Epidemiol&lt;/secondary-title&gt;&lt;/titles&gt;&lt;periodical&gt;&lt;full-title&gt;Am J Epidemiol&lt;/full-title&gt;&lt;/periodical&gt;&lt;pages&gt;1110-9&lt;/pages&gt;&lt;volume&gt;175&lt;/volume&gt;&lt;number&gt;11&lt;/number&gt;&lt;edition&gt;2012/05/15&lt;/edition&gt;&lt;dates&gt;&lt;year&gt;2012&lt;/year&gt;&lt;pub-dates&gt;&lt;date&gt;Jun 1&lt;/date&gt;&lt;/pub-dates&gt;&lt;/dates&gt;&lt;isbn&gt;1476-6256 (Electronic)&amp;#xD;0002-9262 (Linking)&lt;/isbn&gt;&lt;accession-num&gt;22582209&lt;/accession-num&gt;&lt;urls&gt;&lt;related-urls&gt;&lt;url&gt;http://www.ncbi.nlm.nih.gov/entrez/query.fcgi?cmd=Retrieve&amp;amp;db=PubMed&amp;amp;dopt=Citation&amp;amp;list_uids=22582209&lt;/url&gt;&lt;/related-urls&gt;&lt;/urls&gt;&lt;electronic-resource-num&gt;kws196 [pii]&amp;#xD;10.1093/aje/kws196&lt;/electronic-resource-num&gt;&lt;language&gt;eng&lt;/language&gt;&lt;/record&gt;&lt;/Cite&gt;&lt;/EndNote&gt;</w:instrText>
            </w:r>
            <w:r w:rsidR="001957B5" w:rsidRPr="00D5320E">
              <w:rPr>
                <w:rFonts w:ascii="Arial" w:eastAsia="FreeSans" w:hAnsi="Arial" w:cs="Arial"/>
                <w:sz w:val="20"/>
                <w:szCs w:val="20"/>
              </w:rPr>
              <w:fldChar w:fldCharType="separate"/>
            </w:r>
            <w:r w:rsidR="00BC0ECA" w:rsidRPr="00BC0ECA">
              <w:rPr>
                <w:rFonts w:ascii="Arial" w:eastAsia="FreeSans" w:hAnsi="Arial" w:cs="Arial"/>
                <w:noProof/>
                <w:sz w:val="20"/>
                <w:szCs w:val="20"/>
                <w:vertAlign w:val="superscript"/>
              </w:rPr>
              <w:t>17</w:t>
            </w:r>
            <w:r w:rsidR="001957B5" w:rsidRPr="00D5320E">
              <w:rPr>
                <w:rFonts w:ascii="Arial" w:eastAsia="FreeSans" w:hAnsi="Arial" w:cs="Arial"/>
                <w:sz w:val="20"/>
                <w:szCs w:val="20"/>
              </w:rPr>
              <w:fldChar w:fldCharType="end"/>
            </w:r>
          </w:p>
        </w:tc>
        <w:tc>
          <w:tcPr>
            <w:tcW w:w="5342" w:type="dxa"/>
          </w:tcPr>
          <w:p w:rsidR="007E7BB4" w:rsidRPr="00D5320E" w:rsidRDefault="007E7BB4" w:rsidP="00D80197">
            <w:pPr>
              <w:ind w:firstLine="0"/>
              <w:rPr>
                <w:rFonts w:ascii="Arial" w:hAnsi="Arial" w:cs="Arial"/>
                <w:sz w:val="20"/>
                <w:szCs w:val="20"/>
              </w:rPr>
            </w:pPr>
            <w:r w:rsidRPr="00D5320E">
              <w:rPr>
                <w:rFonts w:ascii="Arial" w:hAnsi="Arial" w:cs="Arial"/>
                <w:sz w:val="20"/>
                <w:szCs w:val="20"/>
              </w:rPr>
              <w:t xml:space="preserve">A statistically significant association with GBS was found for MIV (RR: 2.1, 95% </w:t>
            </w:r>
            <w:r w:rsidR="00DF065D" w:rsidRPr="00D5320E">
              <w:rPr>
                <w:rFonts w:ascii="Arial" w:hAnsi="Arial" w:cs="Arial"/>
                <w:sz w:val="20"/>
                <w:szCs w:val="20"/>
              </w:rPr>
              <w:t>CI 1.2-</w:t>
            </w:r>
            <w:r w:rsidRPr="00D5320E">
              <w:rPr>
                <w:rFonts w:ascii="Arial" w:hAnsi="Arial" w:cs="Arial"/>
                <w:sz w:val="20"/>
                <w:szCs w:val="20"/>
              </w:rPr>
              <w:t>3.5). No adjustments were made for infection. However, if seasonal infections affected the risk of GBS, the authors would have expected to see seasonality in GBS onset, but no such seasonality during 2009-10 was identified.</w:t>
            </w:r>
          </w:p>
        </w:tc>
        <w:tc>
          <w:tcPr>
            <w:tcW w:w="1375" w:type="dxa"/>
          </w:tcPr>
          <w:p w:rsidR="007E7BB4" w:rsidRPr="00D5320E" w:rsidRDefault="007E7BB4" w:rsidP="00D80197">
            <w:pPr>
              <w:ind w:firstLine="0"/>
              <w:jc w:val="right"/>
              <w:rPr>
                <w:rFonts w:ascii="Arial" w:hAnsi="Arial" w:cs="Arial"/>
                <w:sz w:val="20"/>
                <w:szCs w:val="20"/>
              </w:rPr>
            </w:pPr>
            <w:r w:rsidRPr="00D5320E">
              <w:rPr>
                <w:rFonts w:ascii="Arial" w:hAnsi="Arial" w:cs="Arial"/>
                <w:sz w:val="20"/>
                <w:szCs w:val="20"/>
              </w:rPr>
              <w:t>d, e, f</w:t>
            </w:r>
            <w:r w:rsidR="00D93FF2">
              <w:rPr>
                <w:rFonts w:ascii="Arial" w:hAnsi="Arial" w:cs="Arial"/>
                <w:sz w:val="20"/>
                <w:szCs w:val="20"/>
              </w:rPr>
              <w:t>, g</w:t>
            </w:r>
          </w:p>
        </w:tc>
      </w:tr>
      <w:tr w:rsidR="007E7BB4" w:rsidRPr="007656A8" w:rsidTr="00D80197">
        <w:tc>
          <w:tcPr>
            <w:tcW w:w="0" w:type="auto"/>
          </w:tcPr>
          <w:p w:rsidR="007E7BB4" w:rsidRPr="00D5320E" w:rsidRDefault="007E7BB4" w:rsidP="002C644A">
            <w:pPr>
              <w:ind w:firstLine="0"/>
              <w:rPr>
                <w:rFonts w:ascii="Arial" w:hAnsi="Arial" w:cs="Arial"/>
                <w:sz w:val="20"/>
                <w:szCs w:val="20"/>
              </w:rPr>
            </w:pPr>
            <w:r w:rsidRPr="00D5320E">
              <w:rPr>
                <w:rFonts w:ascii="Arial" w:hAnsi="Arial" w:cs="Arial"/>
                <w:sz w:val="20"/>
                <w:szCs w:val="20"/>
              </w:rPr>
              <w:t xml:space="preserve">Greene et al., 2012 </w:t>
            </w:r>
            <w:r w:rsidR="002C644A">
              <w:rPr>
                <w:rFonts w:ascii="Arial" w:hAnsi="Arial" w:cs="Arial"/>
                <w:sz w:val="20"/>
                <w:szCs w:val="20"/>
              </w:rPr>
              <w:t>[15]</w:t>
            </w:r>
          </w:p>
        </w:tc>
        <w:tc>
          <w:tcPr>
            <w:tcW w:w="0" w:type="auto"/>
          </w:tcPr>
          <w:p w:rsidR="007E7BB4" w:rsidRPr="00D5320E" w:rsidRDefault="007E7BB4" w:rsidP="00D80197">
            <w:pPr>
              <w:ind w:firstLine="0"/>
              <w:rPr>
                <w:rFonts w:ascii="Arial" w:hAnsi="Arial" w:cs="Arial"/>
                <w:sz w:val="20"/>
                <w:szCs w:val="20"/>
              </w:rPr>
            </w:pPr>
            <w:r w:rsidRPr="00D5320E">
              <w:rPr>
                <w:rFonts w:ascii="Arial" w:hAnsi="Arial" w:cs="Arial"/>
                <w:sz w:val="20"/>
                <w:szCs w:val="20"/>
              </w:rPr>
              <w:t>Self-controlled risk interval; case-centered</w:t>
            </w:r>
          </w:p>
        </w:tc>
        <w:tc>
          <w:tcPr>
            <w:tcW w:w="0" w:type="auto"/>
          </w:tcPr>
          <w:p w:rsidR="007E7BB4" w:rsidRPr="00D5320E" w:rsidRDefault="007E7BB4" w:rsidP="00D80197">
            <w:pPr>
              <w:ind w:firstLine="0"/>
              <w:rPr>
                <w:rFonts w:ascii="Arial" w:eastAsia="FreeSans" w:hAnsi="Arial" w:cs="Arial"/>
                <w:sz w:val="20"/>
                <w:szCs w:val="20"/>
              </w:rPr>
            </w:pPr>
            <w:r w:rsidRPr="00D5320E">
              <w:rPr>
                <w:rFonts w:ascii="Arial" w:eastAsia="FreeSans" w:hAnsi="Arial" w:cs="Arial"/>
                <w:sz w:val="20"/>
                <w:szCs w:val="20"/>
              </w:rPr>
              <w:t>Upper respiratory infection and gastrointestinal illness in prior month</w:t>
            </w:r>
          </w:p>
        </w:tc>
        <w:tc>
          <w:tcPr>
            <w:tcW w:w="0" w:type="auto"/>
          </w:tcPr>
          <w:p w:rsidR="007E7BB4" w:rsidRPr="00D5320E" w:rsidRDefault="007E7BB4" w:rsidP="00D80197">
            <w:pPr>
              <w:autoSpaceDE w:val="0"/>
              <w:autoSpaceDN w:val="0"/>
              <w:adjustRightInd w:val="0"/>
              <w:ind w:firstLine="0"/>
              <w:rPr>
                <w:rFonts w:ascii="Arial" w:eastAsia="FreeSans" w:hAnsi="Arial" w:cs="Arial"/>
                <w:sz w:val="20"/>
                <w:szCs w:val="20"/>
              </w:rPr>
            </w:pPr>
            <w:r w:rsidRPr="00D5320E">
              <w:rPr>
                <w:rFonts w:ascii="Arial" w:eastAsia="FreeSans" w:hAnsi="Arial" w:cs="Arial"/>
                <w:sz w:val="20"/>
                <w:szCs w:val="20"/>
              </w:rPr>
              <w:t>Medical record review</w:t>
            </w:r>
          </w:p>
        </w:tc>
        <w:tc>
          <w:tcPr>
            <w:tcW w:w="5342" w:type="dxa"/>
          </w:tcPr>
          <w:p w:rsidR="007E7BB4" w:rsidRPr="00D5320E" w:rsidRDefault="007E7BB4" w:rsidP="00D80197">
            <w:pPr>
              <w:ind w:firstLine="0"/>
              <w:rPr>
                <w:rFonts w:ascii="Arial" w:hAnsi="Arial" w:cs="Arial"/>
                <w:sz w:val="20"/>
                <w:szCs w:val="20"/>
              </w:rPr>
            </w:pPr>
            <w:r w:rsidRPr="00D5320E">
              <w:rPr>
                <w:rFonts w:ascii="Arial" w:hAnsi="Arial" w:cs="Arial"/>
                <w:sz w:val="20"/>
                <w:szCs w:val="20"/>
              </w:rPr>
              <w:t>A statistically significant association with GBS was found for MIV (RR</w:t>
            </w:r>
            <w:r w:rsidR="00DF065D" w:rsidRPr="00D5320E">
              <w:rPr>
                <w:rFonts w:ascii="Arial" w:hAnsi="Arial" w:cs="Arial"/>
                <w:sz w:val="20"/>
                <w:szCs w:val="20"/>
              </w:rPr>
              <w:t>: 4.4, 95% CI: 1.3-</w:t>
            </w:r>
            <w:r w:rsidRPr="00D5320E">
              <w:rPr>
                <w:rFonts w:ascii="Arial" w:hAnsi="Arial" w:cs="Arial"/>
                <w:sz w:val="20"/>
                <w:szCs w:val="20"/>
              </w:rPr>
              <w:t>14.2), but not TIV. Five of nine GBS cases with onset in the six weeks following MIV had an antecedent respiratory illness, compared with one of eight GBS cases following TIV. No GBS seasonality during 2009-10 was identified.</w:t>
            </w:r>
          </w:p>
        </w:tc>
        <w:tc>
          <w:tcPr>
            <w:tcW w:w="1375" w:type="dxa"/>
          </w:tcPr>
          <w:p w:rsidR="007E7BB4" w:rsidRPr="00D5320E" w:rsidRDefault="007E7BB4" w:rsidP="00D80197">
            <w:pPr>
              <w:ind w:firstLine="0"/>
              <w:jc w:val="right"/>
              <w:rPr>
                <w:rFonts w:ascii="Arial" w:hAnsi="Arial" w:cs="Arial"/>
                <w:sz w:val="20"/>
                <w:szCs w:val="20"/>
              </w:rPr>
            </w:pPr>
            <w:r w:rsidRPr="00D5320E">
              <w:rPr>
                <w:rFonts w:ascii="Arial" w:hAnsi="Arial" w:cs="Arial"/>
                <w:sz w:val="20"/>
                <w:szCs w:val="20"/>
              </w:rPr>
              <w:t>d, e, f</w:t>
            </w:r>
            <w:r w:rsidR="00D93FF2">
              <w:rPr>
                <w:rFonts w:ascii="Arial" w:hAnsi="Arial" w:cs="Arial"/>
                <w:sz w:val="20"/>
                <w:szCs w:val="20"/>
              </w:rPr>
              <w:t>, g</w:t>
            </w:r>
          </w:p>
        </w:tc>
      </w:tr>
      <w:tr w:rsidR="007E7BB4" w:rsidRPr="007656A8" w:rsidTr="00D80197">
        <w:tc>
          <w:tcPr>
            <w:tcW w:w="0" w:type="auto"/>
          </w:tcPr>
          <w:p w:rsidR="007E7BB4" w:rsidRPr="00D5320E" w:rsidRDefault="007E7BB4" w:rsidP="002C644A">
            <w:pPr>
              <w:ind w:firstLine="0"/>
              <w:rPr>
                <w:rFonts w:ascii="Arial" w:hAnsi="Arial" w:cs="Arial"/>
                <w:sz w:val="20"/>
                <w:szCs w:val="20"/>
              </w:rPr>
            </w:pPr>
            <w:proofErr w:type="spellStart"/>
            <w:r w:rsidRPr="00D5320E">
              <w:rPr>
                <w:rFonts w:ascii="Arial" w:hAnsi="Arial" w:cs="Arial"/>
                <w:sz w:val="20"/>
                <w:szCs w:val="20"/>
              </w:rPr>
              <w:t>Yih</w:t>
            </w:r>
            <w:proofErr w:type="spellEnd"/>
            <w:r w:rsidRPr="00D5320E">
              <w:rPr>
                <w:rFonts w:ascii="Arial" w:hAnsi="Arial" w:cs="Arial"/>
                <w:sz w:val="20"/>
                <w:szCs w:val="20"/>
              </w:rPr>
              <w:t xml:space="preserve"> et al., 2012 </w:t>
            </w:r>
            <w:r w:rsidR="002C644A">
              <w:rPr>
                <w:rFonts w:ascii="Arial" w:hAnsi="Arial" w:cs="Arial"/>
                <w:sz w:val="20"/>
                <w:szCs w:val="20"/>
              </w:rPr>
              <w:t>[18]</w:t>
            </w:r>
          </w:p>
        </w:tc>
        <w:tc>
          <w:tcPr>
            <w:tcW w:w="0" w:type="auto"/>
          </w:tcPr>
          <w:p w:rsidR="007E7BB4" w:rsidRPr="00D5320E" w:rsidRDefault="007E7BB4" w:rsidP="00D80197">
            <w:pPr>
              <w:ind w:firstLine="0"/>
              <w:rPr>
                <w:rFonts w:ascii="Arial" w:hAnsi="Arial" w:cs="Arial"/>
                <w:sz w:val="20"/>
                <w:szCs w:val="20"/>
              </w:rPr>
            </w:pPr>
            <w:r w:rsidRPr="00D5320E">
              <w:rPr>
                <w:rFonts w:ascii="Arial" w:hAnsi="Arial" w:cs="Arial"/>
                <w:sz w:val="20"/>
                <w:szCs w:val="20"/>
              </w:rPr>
              <w:t>Self-controlled risk interval</w:t>
            </w:r>
          </w:p>
        </w:tc>
        <w:tc>
          <w:tcPr>
            <w:tcW w:w="0" w:type="auto"/>
          </w:tcPr>
          <w:p w:rsidR="007E7BB4" w:rsidRPr="00D5320E" w:rsidRDefault="007E7BB4" w:rsidP="00D80197">
            <w:pPr>
              <w:autoSpaceDE w:val="0"/>
              <w:autoSpaceDN w:val="0"/>
              <w:adjustRightInd w:val="0"/>
              <w:ind w:firstLine="0"/>
              <w:rPr>
                <w:rFonts w:ascii="Arial" w:hAnsi="Arial" w:cs="Arial"/>
                <w:sz w:val="20"/>
                <w:szCs w:val="20"/>
              </w:rPr>
            </w:pPr>
            <w:r w:rsidRPr="00D5320E">
              <w:rPr>
                <w:rFonts w:ascii="Arial" w:eastAsia="FreeSans" w:hAnsi="Arial" w:cs="Arial"/>
                <w:sz w:val="20"/>
                <w:szCs w:val="20"/>
              </w:rPr>
              <w:t>Upper respiratory infection and gastrointestinal illness in prior 6 weeks</w:t>
            </w:r>
          </w:p>
        </w:tc>
        <w:tc>
          <w:tcPr>
            <w:tcW w:w="0" w:type="auto"/>
          </w:tcPr>
          <w:p w:rsidR="007E7BB4" w:rsidRPr="00D5320E" w:rsidRDefault="007E7BB4" w:rsidP="00D80197">
            <w:pPr>
              <w:autoSpaceDE w:val="0"/>
              <w:autoSpaceDN w:val="0"/>
              <w:adjustRightInd w:val="0"/>
              <w:ind w:firstLine="0"/>
              <w:rPr>
                <w:rFonts w:ascii="Arial" w:eastAsia="FreeSans" w:hAnsi="Arial" w:cs="Arial"/>
                <w:sz w:val="20"/>
                <w:szCs w:val="20"/>
              </w:rPr>
            </w:pPr>
            <w:r w:rsidRPr="00D5320E">
              <w:rPr>
                <w:rFonts w:ascii="Arial" w:eastAsia="FreeSans" w:hAnsi="Arial" w:cs="Arial"/>
                <w:sz w:val="20"/>
                <w:szCs w:val="20"/>
              </w:rPr>
              <w:t>Medical record review</w:t>
            </w:r>
          </w:p>
        </w:tc>
        <w:tc>
          <w:tcPr>
            <w:tcW w:w="5342" w:type="dxa"/>
          </w:tcPr>
          <w:p w:rsidR="007E7BB4" w:rsidRPr="00D5320E" w:rsidRDefault="007E7BB4" w:rsidP="00D80197">
            <w:pPr>
              <w:autoSpaceDE w:val="0"/>
              <w:autoSpaceDN w:val="0"/>
              <w:adjustRightInd w:val="0"/>
              <w:ind w:firstLine="0"/>
              <w:rPr>
                <w:rFonts w:ascii="Arial" w:hAnsi="Arial" w:cs="Arial"/>
                <w:sz w:val="20"/>
                <w:szCs w:val="20"/>
              </w:rPr>
            </w:pPr>
            <w:r w:rsidRPr="00D5320E">
              <w:rPr>
                <w:rFonts w:ascii="Arial" w:hAnsi="Arial" w:cs="Arial"/>
                <w:sz w:val="20"/>
                <w:szCs w:val="20"/>
              </w:rPr>
              <w:t>An elevated but not statistically significant association with GBS was fou</w:t>
            </w:r>
            <w:r w:rsidR="00DF065D" w:rsidRPr="00D5320E">
              <w:rPr>
                <w:rFonts w:ascii="Arial" w:hAnsi="Arial" w:cs="Arial"/>
                <w:sz w:val="20"/>
                <w:szCs w:val="20"/>
              </w:rPr>
              <w:t>nd for MIV (2.50, 95% CI: 0.42-</w:t>
            </w:r>
            <w:r w:rsidRPr="00D5320E">
              <w:rPr>
                <w:rFonts w:ascii="Arial" w:hAnsi="Arial" w:cs="Arial"/>
                <w:sz w:val="20"/>
                <w:szCs w:val="20"/>
              </w:rPr>
              <w:t>15.0). One of 3 cases with onset in the risk interval and 1 of 2 cases in the control interval had a respiratory or gastrointestinal illness within 6 weeks prior to GBS onset.</w:t>
            </w:r>
          </w:p>
        </w:tc>
        <w:tc>
          <w:tcPr>
            <w:tcW w:w="1375" w:type="dxa"/>
          </w:tcPr>
          <w:p w:rsidR="007E7BB4" w:rsidRPr="00D5320E" w:rsidRDefault="007E7BB4" w:rsidP="00D80197">
            <w:pPr>
              <w:ind w:firstLine="0"/>
              <w:jc w:val="right"/>
              <w:rPr>
                <w:rFonts w:ascii="Arial" w:hAnsi="Arial" w:cs="Arial"/>
                <w:sz w:val="20"/>
                <w:szCs w:val="20"/>
              </w:rPr>
            </w:pPr>
            <w:r w:rsidRPr="00D5320E">
              <w:rPr>
                <w:rFonts w:ascii="Arial" w:hAnsi="Arial" w:cs="Arial"/>
                <w:sz w:val="20"/>
                <w:szCs w:val="20"/>
              </w:rPr>
              <w:t>d, e</w:t>
            </w:r>
            <w:r w:rsidR="00D93FF2">
              <w:rPr>
                <w:rFonts w:ascii="Arial" w:hAnsi="Arial" w:cs="Arial"/>
                <w:sz w:val="20"/>
                <w:szCs w:val="20"/>
              </w:rPr>
              <w:t>, g</w:t>
            </w:r>
          </w:p>
        </w:tc>
      </w:tr>
      <w:tr w:rsidR="007E7BB4" w:rsidRPr="007656A8" w:rsidTr="00D80197">
        <w:tc>
          <w:tcPr>
            <w:tcW w:w="0" w:type="auto"/>
          </w:tcPr>
          <w:p w:rsidR="007E7BB4" w:rsidRPr="00D5320E" w:rsidRDefault="007E7BB4" w:rsidP="00482415">
            <w:pPr>
              <w:ind w:firstLine="0"/>
              <w:rPr>
                <w:rFonts w:ascii="Arial" w:hAnsi="Arial" w:cs="Arial"/>
                <w:sz w:val="20"/>
                <w:szCs w:val="20"/>
              </w:rPr>
            </w:pPr>
            <w:r w:rsidRPr="00D5320E">
              <w:rPr>
                <w:rFonts w:ascii="Arial" w:hAnsi="Arial" w:cs="Arial"/>
                <w:sz w:val="20"/>
                <w:szCs w:val="20"/>
              </w:rPr>
              <w:t xml:space="preserve">De </w:t>
            </w:r>
            <w:proofErr w:type="spellStart"/>
            <w:r w:rsidRPr="00D5320E">
              <w:rPr>
                <w:rFonts w:ascii="Arial" w:hAnsi="Arial" w:cs="Arial"/>
                <w:sz w:val="20"/>
                <w:szCs w:val="20"/>
              </w:rPr>
              <w:t>Wals</w:t>
            </w:r>
            <w:proofErr w:type="spellEnd"/>
            <w:r w:rsidRPr="00D5320E">
              <w:rPr>
                <w:rFonts w:ascii="Arial" w:hAnsi="Arial" w:cs="Arial"/>
                <w:sz w:val="20"/>
                <w:szCs w:val="20"/>
              </w:rPr>
              <w:t xml:space="preserve"> et al., 2012 </w:t>
            </w:r>
            <w:r w:rsidR="00482415">
              <w:rPr>
                <w:rFonts w:ascii="Arial" w:hAnsi="Arial" w:cs="Arial"/>
                <w:sz w:val="20"/>
                <w:szCs w:val="20"/>
              </w:rPr>
              <w:t>[44]</w:t>
            </w:r>
          </w:p>
        </w:tc>
        <w:tc>
          <w:tcPr>
            <w:tcW w:w="0" w:type="auto"/>
          </w:tcPr>
          <w:p w:rsidR="007E7BB4" w:rsidRPr="00D5320E" w:rsidRDefault="007E7BB4" w:rsidP="00D80197">
            <w:pPr>
              <w:ind w:firstLine="0"/>
              <w:rPr>
                <w:rFonts w:ascii="Arial" w:hAnsi="Arial" w:cs="Arial"/>
                <w:sz w:val="20"/>
                <w:szCs w:val="20"/>
              </w:rPr>
            </w:pPr>
            <w:r w:rsidRPr="00D5320E">
              <w:rPr>
                <w:rFonts w:ascii="Arial" w:hAnsi="Arial" w:cs="Arial"/>
                <w:sz w:val="20"/>
                <w:szCs w:val="20"/>
              </w:rPr>
              <w:t>Self-controlled case series</w:t>
            </w:r>
          </w:p>
        </w:tc>
        <w:tc>
          <w:tcPr>
            <w:tcW w:w="0" w:type="auto"/>
          </w:tcPr>
          <w:p w:rsidR="007E7BB4" w:rsidRPr="00D5320E" w:rsidRDefault="007E7BB4" w:rsidP="00D80197">
            <w:pPr>
              <w:autoSpaceDE w:val="0"/>
              <w:autoSpaceDN w:val="0"/>
              <w:adjustRightInd w:val="0"/>
              <w:ind w:firstLine="0"/>
              <w:rPr>
                <w:rFonts w:ascii="Arial" w:eastAsia="FreeSans" w:hAnsi="Arial" w:cs="Arial"/>
                <w:sz w:val="20"/>
                <w:szCs w:val="20"/>
              </w:rPr>
            </w:pPr>
            <w:r w:rsidRPr="00D5320E">
              <w:rPr>
                <w:rFonts w:ascii="Arial" w:eastAsia="FreeSans" w:hAnsi="Arial" w:cs="Arial"/>
                <w:sz w:val="20"/>
                <w:szCs w:val="20"/>
              </w:rPr>
              <w:t>Respiratory tract infection, influenza-like illness, and gastroenteritis in prior month</w:t>
            </w:r>
          </w:p>
        </w:tc>
        <w:tc>
          <w:tcPr>
            <w:tcW w:w="0" w:type="auto"/>
          </w:tcPr>
          <w:p w:rsidR="007E7BB4" w:rsidRPr="00D5320E" w:rsidRDefault="007E7BB4" w:rsidP="00D80197">
            <w:pPr>
              <w:autoSpaceDE w:val="0"/>
              <w:autoSpaceDN w:val="0"/>
              <w:adjustRightInd w:val="0"/>
              <w:ind w:firstLine="0"/>
              <w:rPr>
                <w:rFonts w:ascii="Arial" w:eastAsia="FreeSans" w:hAnsi="Arial" w:cs="Arial"/>
                <w:sz w:val="20"/>
                <w:szCs w:val="20"/>
              </w:rPr>
            </w:pPr>
            <w:r w:rsidRPr="00D5320E">
              <w:rPr>
                <w:rFonts w:ascii="Arial" w:eastAsia="FreeSans" w:hAnsi="Arial" w:cs="Arial"/>
                <w:sz w:val="20"/>
                <w:szCs w:val="20"/>
              </w:rPr>
              <w:t>Medical record review</w:t>
            </w:r>
          </w:p>
        </w:tc>
        <w:tc>
          <w:tcPr>
            <w:tcW w:w="5342" w:type="dxa"/>
          </w:tcPr>
          <w:p w:rsidR="007E7BB4" w:rsidRPr="00D5320E" w:rsidRDefault="007E7BB4" w:rsidP="00D80197">
            <w:pPr>
              <w:autoSpaceDE w:val="0"/>
              <w:autoSpaceDN w:val="0"/>
              <w:adjustRightInd w:val="0"/>
              <w:ind w:firstLine="0"/>
              <w:rPr>
                <w:rFonts w:ascii="Arial" w:hAnsi="Arial" w:cs="Arial"/>
                <w:sz w:val="20"/>
                <w:szCs w:val="20"/>
              </w:rPr>
            </w:pPr>
            <w:r w:rsidRPr="00D5320E">
              <w:rPr>
                <w:rFonts w:ascii="Arial" w:hAnsi="Arial" w:cs="Arial"/>
                <w:sz w:val="20"/>
                <w:szCs w:val="20"/>
              </w:rPr>
              <w:t>In stratified SCCS analyses, the association between GBS and MIV was higher for patients with a negative history of respiratory tract infection or influenza-like</w:t>
            </w:r>
            <w:r w:rsidR="00DF065D" w:rsidRPr="00D5320E">
              <w:rPr>
                <w:rFonts w:ascii="Arial" w:hAnsi="Arial" w:cs="Arial"/>
                <w:sz w:val="20"/>
                <w:szCs w:val="20"/>
              </w:rPr>
              <w:t xml:space="preserve"> illness (RR=4.1, 95% CI: 2.02-</w:t>
            </w:r>
            <w:r w:rsidRPr="00D5320E">
              <w:rPr>
                <w:rFonts w:ascii="Arial" w:hAnsi="Arial" w:cs="Arial"/>
                <w:sz w:val="20"/>
                <w:szCs w:val="20"/>
              </w:rPr>
              <w:t>8.52) than for patients with a positive history (RR=1.24, 95% CI: 0</w:t>
            </w:r>
            <w:r w:rsidR="00DF065D" w:rsidRPr="00D5320E">
              <w:rPr>
                <w:rFonts w:ascii="Arial" w:hAnsi="Arial" w:cs="Arial"/>
                <w:sz w:val="20"/>
                <w:szCs w:val="20"/>
              </w:rPr>
              <w:t>.33-</w:t>
            </w:r>
            <w:r w:rsidRPr="00D5320E">
              <w:rPr>
                <w:rFonts w:ascii="Arial" w:hAnsi="Arial" w:cs="Arial"/>
                <w:sz w:val="20"/>
                <w:szCs w:val="20"/>
              </w:rPr>
              <w:t>4.61).</w:t>
            </w:r>
          </w:p>
        </w:tc>
        <w:tc>
          <w:tcPr>
            <w:tcW w:w="1375" w:type="dxa"/>
          </w:tcPr>
          <w:p w:rsidR="007E7BB4" w:rsidRPr="00D5320E" w:rsidRDefault="00D93FF2" w:rsidP="00D80197">
            <w:pPr>
              <w:ind w:firstLine="0"/>
              <w:jc w:val="right"/>
              <w:rPr>
                <w:rFonts w:ascii="Arial" w:hAnsi="Arial" w:cs="Arial"/>
                <w:sz w:val="20"/>
                <w:szCs w:val="20"/>
              </w:rPr>
            </w:pPr>
            <w:r>
              <w:rPr>
                <w:rFonts w:ascii="Arial" w:hAnsi="Arial" w:cs="Arial"/>
                <w:sz w:val="20"/>
                <w:szCs w:val="20"/>
              </w:rPr>
              <w:t>d, e, h</w:t>
            </w:r>
          </w:p>
        </w:tc>
      </w:tr>
    </w:tbl>
    <w:p w:rsidR="007E7BB4" w:rsidRPr="006E60E3" w:rsidRDefault="007E7BB4" w:rsidP="007E7BB4">
      <w:pPr>
        <w:ind w:firstLine="0"/>
        <w:rPr>
          <w:rFonts w:ascii="Arial" w:hAnsi="Arial" w:cs="Arial"/>
          <w:sz w:val="16"/>
          <w:szCs w:val="16"/>
        </w:rPr>
      </w:pPr>
      <w:r w:rsidRPr="006E60E3">
        <w:rPr>
          <w:rFonts w:ascii="Arial" w:hAnsi="Arial" w:cs="Arial"/>
          <w:sz w:val="16"/>
          <w:szCs w:val="16"/>
        </w:rPr>
        <w:t>Abbreviations: CI (confidence interval); RR (relative risk); OR (odds ratio).</w:t>
      </w:r>
    </w:p>
    <w:p w:rsidR="007E7BB4" w:rsidRPr="006E60E3" w:rsidRDefault="007E7BB4" w:rsidP="007E7BB4">
      <w:pPr>
        <w:pStyle w:val="ListParagraph"/>
        <w:numPr>
          <w:ilvl w:val="0"/>
          <w:numId w:val="24"/>
        </w:numPr>
        <w:rPr>
          <w:rFonts w:ascii="Arial" w:hAnsi="Arial" w:cs="Arial"/>
          <w:sz w:val="16"/>
          <w:szCs w:val="16"/>
        </w:rPr>
      </w:pPr>
      <w:r w:rsidRPr="006E60E3">
        <w:rPr>
          <w:rFonts w:ascii="Arial" w:hAnsi="Arial" w:cs="Arial"/>
          <w:sz w:val="16"/>
          <w:szCs w:val="16"/>
        </w:rPr>
        <w:t>Passive reporting can yield unreliable information on relevant exposures, e.g., antecedent infection.</w:t>
      </w:r>
    </w:p>
    <w:p w:rsidR="007E7BB4" w:rsidRPr="006E60E3" w:rsidRDefault="007E7BB4" w:rsidP="007E7BB4">
      <w:pPr>
        <w:pStyle w:val="ListParagraph"/>
        <w:numPr>
          <w:ilvl w:val="0"/>
          <w:numId w:val="24"/>
        </w:numPr>
        <w:rPr>
          <w:rFonts w:ascii="Arial" w:hAnsi="Arial" w:cs="Arial"/>
          <w:sz w:val="16"/>
          <w:szCs w:val="16"/>
        </w:rPr>
      </w:pPr>
      <w:r w:rsidRPr="006E60E3">
        <w:rPr>
          <w:rFonts w:ascii="Arial" w:hAnsi="Arial" w:cs="Arial"/>
          <w:sz w:val="16"/>
          <w:szCs w:val="16"/>
        </w:rPr>
        <w:t>If a GBS patient had both antecedent vaccine and infection exposures, the cause of GBS was simply assumed to be the infection.</w:t>
      </w:r>
    </w:p>
    <w:p w:rsidR="007E7BB4" w:rsidRPr="006E60E3" w:rsidRDefault="007E7BB4" w:rsidP="007E7BB4">
      <w:pPr>
        <w:pStyle w:val="ListParagraph"/>
        <w:numPr>
          <w:ilvl w:val="0"/>
          <w:numId w:val="24"/>
        </w:numPr>
        <w:rPr>
          <w:rFonts w:ascii="Arial" w:hAnsi="Arial" w:cs="Arial"/>
          <w:sz w:val="16"/>
          <w:szCs w:val="16"/>
        </w:rPr>
      </w:pPr>
      <w:r w:rsidRPr="006E60E3">
        <w:rPr>
          <w:rFonts w:ascii="Arial" w:hAnsi="Arial" w:cs="Arial"/>
          <w:sz w:val="16"/>
          <w:szCs w:val="16"/>
        </w:rPr>
        <w:t>Case-control studies are subject to misclassification bias, i.e., differential recall or recording of antecedent infections between cases and controls. Appropriate controls would need to have a non-GBS condition</w:t>
      </w:r>
      <w:r w:rsidRPr="006E60E3">
        <w:rPr>
          <w:rFonts w:ascii="Arial" w:eastAsiaTheme="minorEastAsia" w:hAnsi="Arial" w:cs="Arial"/>
          <w:sz w:val="16"/>
          <w:szCs w:val="16"/>
        </w:rPr>
        <w:t xml:space="preserve"> for which they would be as likely to recall or to be asked about an antecedent infection as a GBS patient. Otherwise, antecedent infections may be systematically under-ascertained in medical records of control patients.</w:t>
      </w:r>
    </w:p>
    <w:p w:rsidR="007C3457" w:rsidRPr="006E60E3" w:rsidRDefault="007E7BB4" w:rsidP="007C3457">
      <w:pPr>
        <w:pStyle w:val="ListParagraph"/>
        <w:numPr>
          <w:ilvl w:val="0"/>
          <w:numId w:val="24"/>
        </w:numPr>
        <w:rPr>
          <w:rFonts w:ascii="Arial" w:hAnsi="Arial" w:cs="Arial"/>
          <w:sz w:val="16"/>
          <w:szCs w:val="16"/>
        </w:rPr>
      </w:pPr>
      <w:r w:rsidRPr="006E60E3">
        <w:rPr>
          <w:rFonts w:ascii="Arial" w:hAnsi="Arial" w:cs="Arial"/>
          <w:sz w:val="16"/>
          <w:szCs w:val="16"/>
        </w:rPr>
        <w:t xml:space="preserve">Data regarding antecedent infections were obtained </w:t>
      </w:r>
      <w:r w:rsidR="00C44423" w:rsidRPr="006E60E3">
        <w:rPr>
          <w:rFonts w:ascii="Arial" w:hAnsi="Arial" w:cs="Arial"/>
          <w:sz w:val="16"/>
          <w:szCs w:val="16"/>
        </w:rPr>
        <w:t xml:space="preserve">only for </w:t>
      </w:r>
      <w:r w:rsidR="007C3457" w:rsidRPr="006E60E3">
        <w:rPr>
          <w:rFonts w:ascii="Arial" w:hAnsi="Arial" w:cs="Arial"/>
          <w:sz w:val="16"/>
          <w:szCs w:val="16"/>
        </w:rPr>
        <w:t>vaccination-exposed person-time for cases (rather than also for vaccination-unexposed person-time)</w:t>
      </w:r>
      <w:r w:rsidRPr="006E60E3">
        <w:rPr>
          <w:rFonts w:ascii="Arial" w:hAnsi="Arial" w:cs="Arial"/>
          <w:sz w:val="16"/>
          <w:szCs w:val="16"/>
        </w:rPr>
        <w:t>, so it was not possible to formally adjust for infection in the analyses.</w:t>
      </w:r>
    </w:p>
    <w:p w:rsidR="007E7BB4" w:rsidRPr="006E60E3" w:rsidRDefault="007E7BB4" w:rsidP="007E7BB4">
      <w:pPr>
        <w:pStyle w:val="ListParagraph"/>
        <w:numPr>
          <w:ilvl w:val="0"/>
          <w:numId w:val="24"/>
        </w:numPr>
        <w:rPr>
          <w:rFonts w:ascii="Arial" w:eastAsiaTheme="minorEastAsia" w:hAnsi="Arial" w:cs="Arial"/>
          <w:color w:val="000000" w:themeColor="text1"/>
          <w:sz w:val="16"/>
          <w:szCs w:val="16"/>
          <w:lang w:bidi="en-US"/>
        </w:rPr>
      </w:pPr>
      <w:r w:rsidRPr="006E60E3">
        <w:rPr>
          <w:rFonts w:ascii="Arial" w:hAnsi="Arial" w:cs="Arial"/>
          <w:sz w:val="16"/>
          <w:szCs w:val="16"/>
        </w:rPr>
        <w:t xml:space="preserve">Because exposure information is recorded in the chart </w:t>
      </w:r>
      <w:r w:rsidRPr="006E60E3">
        <w:rPr>
          <w:rFonts w:ascii="Arial" w:hAnsi="Arial" w:cs="Arial"/>
          <w:i/>
          <w:sz w:val="16"/>
          <w:szCs w:val="16"/>
        </w:rPr>
        <w:t>after</w:t>
      </w:r>
      <w:r w:rsidRPr="006E60E3">
        <w:rPr>
          <w:rFonts w:ascii="Arial" w:hAnsi="Arial" w:cs="Arial"/>
          <w:sz w:val="16"/>
          <w:szCs w:val="16"/>
        </w:rPr>
        <w:t xml:space="preserve"> GBS onset, medical records are subject to information bias. Patients with a possible alternative documented cause of GBS (such as vaccination) may not have other relevant exposures adequately recorded (such as infection).</w:t>
      </w:r>
    </w:p>
    <w:p w:rsidR="007E7BB4" w:rsidRPr="00D93FF2" w:rsidRDefault="007E7BB4" w:rsidP="007E7BB4">
      <w:pPr>
        <w:pStyle w:val="ListParagraph"/>
        <w:numPr>
          <w:ilvl w:val="0"/>
          <w:numId w:val="24"/>
        </w:numPr>
        <w:rPr>
          <w:rFonts w:ascii="Arial" w:hAnsi="Arial" w:cs="Arial"/>
          <w:sz w:val="16"/>
          <w:szCs w:val="16"/>
        </w:rPr>
      </w:pPr>
      <w:r w:rsidRPr="006E60E3">
        <w:rPr>
          <w:rFonts w:ascii="Arial" w:hAnsi="Arial" w:cs="Arial"/>
          <w:sz w:val="16"/>
          <w:szCs w:val="16"/>
        </w:rPr>
        <w:t xml:space="preserve">It is </w:t>
      </w:r>
      <w:r w:rsidRPr="00D93FF2">
        <w:rPr>
          <w:rFonts w:ascii="Arial" w:hAnsi="Arial" w:cs="Arial"/>
          <w:sz w:val="16"/>
          <w:szCs w:val="16"/>
        </w:rPr>
        <w:t>unclear whether there is general seasonality in GBS incidence</w:t>
      </w:r>
      <w:r w:rsidR="00136DFC">
        <w:rPr>
          <w:rFonts w:ascii="Arial" w:hAnsi="Arial" w:cs="Arial"/>
          <w:sz w:val="16"/>
          <w:szCs w:val="16"/>
        </w:rPr>
        <w:t>.</w:t>
      </w:r>
      <w:r w:rsidR="001957B5" w:rsidRPr="00D93FF2">
        <w:rPr>
          <w:rFonts w:ascii="Arial" w:hAnsi="Arial" w:cs="Arial"/>
          <w:sz w:val="16"/>
          <w:szCs w:val="16"/>
        </w:rPr>
        <w:fldChar w:fldCharType="begin"/>
      </w:r>
      <w:r w:rsidR="00CA30FB">
        <w:rPr>
          <w:rFonts w:ascii="Arial" w:hAnsi="Arial" w:cs="Arial"/>
          <w:sz w:val="16"/>
          <w:szCs w:val="16"/>
        </w:rPr>
        <w:instrText xml:space="preserve"> ADDIN EN.CITE &lt;EndNote&gt;&lt;Cite&gt;&lt;Author&gt;McGrogan&lt;/Author&gt;&lt;Year&gt;2009&lt;/Year&gt;&lt;RecNum&gt;52&lt;/RecNum&gt;&lt;record&gt;&lt;rec-number&gt;52&lt;/rec-number&gt;&lt;foreign-keys&gt;&lt;key app="EN" db-id="095rreewszvztvea9t9pstv6zwswzv5xf2pw"&gt;52&lt;/key&gt;&lt;/foreign-keys&gt;&lt;ref-type name="Journal Article"&gt;17&lt;/ref-type&gt;&lt;contributors&gt;&lt;authors&gt;&lt;author&gt;McGrogan, A.&lt;/author&gt;&lt;author&gt;Madle, G. C.&lt;/author&gt;&lt;author&gt;Seaman, H. E.&lt;/author&gt;&lt;author&gt;de Vries, C. S.&lt;/author&gt;&lt;/authors&gt;&lt;/contributors&gt;&lt;auth-address&gt;Department of Pharmacy and Pharmacology, University of Bath, Bath, UK. a.mcgrogan@bath.ac.uk&lt;/auth-address&gt;&lt;titles&gt;&lt;title&gt;The epidemiology of Guillain-Barré syndrome worldwide. A systematic literature review&lt;/title&gt;&lt;secondary-title&gt;Neuroepidemiology&lt;/secondary-title&gt;&lt;/titles&gt;&lt;pages&gt;150-63&lt;/pages&gt;&lt;volume&gt;32&lt;/volume&gt;&lt;number&gt;2&lt;/number&gt;&lt;edition&gt;2008/12/18&lt;/edition&gt;&lt;keywords&gt;&lt;keyword&gt;Guillain-Barre Syndrome/diagnosis/*epidemiology&lt;/keyword&gt;&lt;keyword&gt;Humans&lt;/keyword&gt;&lt;keyword&gt;Population Surveillance/methods&lt;/keyword&gt;&lt;keyword&gt;Risk Factors&lt;/keyword&gt;&lt;keyword&gt;*World Health&lt;/keyword&gt;&lt;/keywords&gt;&lt;dates&gt;&lt;year&gt;2009&lt;/year&gt;&lt;/dates&gt;&lt;isbn&gt;1423-0208 (Electronic)&amp;#xD;0251-5350 (Linking)&lt;/isbn&gt;&lt;accession-num&gt;19088488&lt;/accession-num&gt;&lt;urls&gt;&lt;related-urls&gt;&lt;url&gt;http://www.ncbi.nlm.nih.gov/entrez/query.fcgi?cmd=Retrieve&amp;amp;db=PubMed&amp;amp;dopt=Citation&amp;amp;list_uids=19088488&lt;/url&gt;&lt;/related-urls&gt;&lt;/urls&gt;&lt;electronic-resource-num&gt;000184748 [pii]&amp;#xD;10.1159/000184748&lt;/electronic-resource-num&gt;&lt;language&gt;eng&lt;/language&gt;&lt;/record&gt;&lt;/Cite&gt;&lt;/EndNote&gt;</w:instrText>
      </w:r>
      <w:r w:rsidR="001957B5" w:rsidRPr="00D93FF2">
        <w:rPr>
          <w:rFonts w:ascii="Arial" w:hAnsi="Arial" w:cs="Arial"/>
          <w:sz w:val="16"/>
          <w:szCs w:val="16"/>
        </w:rPr>
        <w:fldChar w:fldCharType="separate"/>
      </w:r>
      <w:r w:rsidR="00F23820" w:rsidRPr="00F23820">
        <w:rPr>
          <w:rFonts w:ascii="Arial" w:hAnsi="Arial" w:cs="Arial"/>
          <w:noProof/>
          <w:sz w:val="16"/>
          <w:szCs w:val="16"/>
          <w:vertAlign w:val="superscript"/>
        </w:rPr>
        <w:t>33</w:t>
      </w:r>
      <w:r w:rsidR="001957B5" w:rsidRPr="00D93FF2">
        <w:rPr>
          <w:rFonts w:ascii="Arial" w:hAnsi="Arial" w:cs="Arial"/>
          <w:sz w:val="16"/>
          <w:szCs w:val="16"/>
        </w:rPr>
        <w:fldChar w:fldCharType="end"/>
      </w:r>
      <w:r w:rsidRPr="00D93FF2">
        <w:rPr>
          <w:rFonts w:ascii="Arial" w:hAnsi="Arial" w:cs="Arial"/>
          <w:sz w:val="16"/>
          <w:szCs w:val="16"/>
        </w:rPr>
        <w:t xml:space="preserve"> A prior study in the VSD population reported significantly higher GBS rates in winter and spring compared with other seasons</w:t>
      </w:r>
      <w:r w:rsidR="00136DFC">
        <w:rPr>
          <w:rFonts w:ascii="Arial" w:hAnsi="Arial" w:cs="Arial"/>
          <w:sz w:val="16"/>
          <w:szCs w:val="16"/>
        </w:rPr>
        <w:t>.</w:t>
      </w:r>
      <w:r w:rsidR="001957B5" w:rsidRPr="00D93FF2">
        <w:rPr>
          <w:rFonts w:ascii="Arial" w:hAnsi="Arial" w:cs="Arial"/>
          <w:sz w:val="16"/>
          <w:szCs w:val="16"/>
        </w:rPr>
        <w:fldChar w:fldCharType="begin"/>
      </w:r>
      <w:r w:rsidR="00CA30FB">
        <w:rPr>
          <w:rFonts w:ascii="Arial" w:hAnsi="Arial" w:cs="Arial"/>
          <w:sz w:val="16"/>
          <w:szCs w:val="16"/>
        </w:rPr>
        <w:instrText xml:space="preserve"> ADDIN EN.CITE &lt;EndNote&gt;&lt;Cite&gt;&lt;Author&gt;Shui&lt;/Author&gt;&lt;RecNum&gt;8&lt;/RecNum&gt;&lt;record&gt;&lt;rec-number&gt;8&lt;/rec-number&gt;&lt;foreign-keys&gt;&lt;key app="EN" db-id="095rreewszvztvea9t9pstv6zwswzv5xf2pw"&gt;8&lt;/key&gt;&lt;/foreign-keys&gt;&lt;ref-type name="Journal Article"&gt;17&lt;/ref-type&gt;&lt;contributors&gt;&lt;authors&gt;&lt;author&gt;&lt;style face="normal" font="default" size="11"&gt;Irene M. Shui&lt;/style&gt;&lt;/author&gt;&lt;author&gt;&lt;style face="normal" font="default" size="11"&gt;Melisa D. Rett&lt;/style&gt;&lt;/author&gt;&lt;author&gt;&lt;style face="normal" font="default" size="11"&gt;Eric Weintraub&lt;/style&gt;&lt;/author&gt;&lt;author&gt;&lt;style face="normal" font="default" size="11"&gt;Michael Marcy&lt;/style&gt;&lt;/author&gt;&lt;author&gt;&lt;style face="normal" font="default" size="11"&gt;Anthony A. Amato&lt;/style&gt;&lt;/author&gt;&lt;author&gt;&lt;style face="normal" font="default" size="11"&gt;Sarah I. Sheikh&lt;/style&gt;&lt;/author&gt;&lt;author&gt;&lt;style face="normal" font="default" size="11"&gt;Doreen Ho&lt;/style&gt;&lt;/author&gt;&lt;author&gt;&lt;style face="normal" font="default" size="11"&gt;Grace M. Lee&lt;/style&gt;&lt;/author&gt;&lt;author&gt;&lt;style face="normal" font="default" size="11"&gt;W. Katherine Yih&lt;/style&gt;&lt;/author&gt;&lt;author&gt;&lt;style face="normal" font="default" size="11"&gt;Vaccine Safety Datalink Research Team&lt;/style&gt;&lt;/author&gt;&lt;/authors&gt;&lt;/contributors&gt;&lt;titles&gt;&lt;title&gt;Guillain-Barré syndrome incidence in a large United States cohort (2000-2009)&lt;/title&gt;&lt;secondary-title&gt;Neuroepidemiology&lt;/secondary-title&gt;&lt;/titles&gt;&lt;pages&gt;109-115&lt;/pages&gt;&lt;volume&gt;39&lt;/volume&gt;&lt;dates&gt;&lt;year&gt;2012&lt;/year&gt;&lt;/dates&gt;&lt;urls&gt;&lt;/urls&gt;&lt;/record&gt;&lt;/Cite&gt;&lt;/EndNote&gt;</w:instrText>
      </w:r>
      <w:r w:rsidR="001957B5" w:rsidRPr="00D93FF2">
        <w:rPr>
          <w:rFonts w:ascii="Arial" w:hAnsi="Arial" w:cs="Arial"/>
          <w:sz w:val="16"/>
          <w:szCs w:val="16"/>
        </w:rPr>
        <w:fldChar w:fldCharType="separate"/>
      </w:r>
      <w:r w:rsidR="00BC0ECA" w:rsidRPr="00BC0ECA">
        <w:rPr>
          <w:rFonts w:ascii="Arial" w:hAnsi="Arial" w:cs="Arial"/>
          <w:noProof/>
          <w:sz w:val="16"/>
          <w:szCs w:val="16"/>
          <w:vertAlign w:val="superscript"/>
        </w:rPr>
        <w:t>5</w:t>
      </w:r>
      <w:r w:rsidR="001957B5" w:rsidRPr="00D93FF2">
        <w:rPr>
          <w:rFonts w:ascii="Arial" w:hAnsi="Arial" w:cs="Arial"/>
          <w:sz w:val="16"/>
          <w:szCs w:val="16"/>
        </w:rPr>
        <w:fldChar w:fldCharType="end"/>
      </w:r>
      <w:r w:rsidRPr="00D93FF2">
        <w:rPr>
          <w:rFonts w:ascii="Arial" w:hAnsi="Arial" w:cs="Arial"/>
          <w:sz w:val="16"/>
          <w:szCs w:val="16"/>
        </w:rPr>
        <w:t xml:space="preserve"> A lack of demonstration of seasonality for a rare event in one year from one data source does not prove that seasonal exposures such as vaccination and infection are not important, as a robust seasonality assessment may be infeasible</w:t>
      </w:r>
      <w:r w:rsidR="008D4636" w:rsidRPr="00D93FF2">
        <w:rPr>
          <w:rFonts w:ascii="Arial" w:hAnsi="Arial" w:cs="Arial"/>
          <w:sz w:val="16"/>
          <w:szCs w:val="16"/>
        </w:rPr>
        <w:t xml:space="preserve"> </w:t>
      </w:r>
      <w:r w:rsidR="00EE5A81" w:rsidRPr="00D93FF2">
        <w:rPr>
          <w:rFonts w:ascii="Arial" w:hAnsi="Arial" w:cs="Arial"/>
          <w:sz w:val="16"/>
          <w:szCs w:val="16"/>
        </w:rPr>
        <w:t>using</w:t>
      </w:r>
      <w:r w:rsidR="008D4636" w:rsidRPr="00D93FF2">
        <w:rPr>
          <w:rFonts w:ascii="Arial" w:hAnsi="Arial" w:cs="Arial"/>
          <w:sz w:val="16"/>
          <w:szCs w:val="16"/>
        </w:rPr>
        <w:t xml:space="preserve"> a self-controlled design</w:t>
      </w:r>
      <w:r w:rsidRPr="00D93FF2">
        <w:rPr>
          <w:rFonts w:ascii="Arial" w:hAnsi="Arial" w:cs="Arial"/>
          <w:sz w:val="16"/>
          <w:szCs w:val="16"/>
        </w:rPr>
        <w:t xml:space="preserve">. </w:t>
      </w:r>
    </w:p>
    <w:p w:rsidR="00D93FF2" w:rsidRPr="00D93FF2" w:rsidRDefault="00D93FF2" w:rsidP="007E7BB4">
      <w:pPr>
        <w:pStyle w:val="ListParagraph"/>
        <w:numPr>
          <w:ilvl w:val="0"/>
          <w:numId w:val="24"/>
        </w:numPr>
        <w:rPr>
          <w:rFonts w:ascii="Arial" w:hAnsi="Arial" w:cs="Arial"/>
          <w:sz w:val="16"/>
          <w:szCs w:val="16"/>
        </w:rPr>
      </w:pPr>
      <w:r w:rsidRPr="00D93FF2">
        <w:rPr>
          <w:rFonts w:ascii="Arial" w:hAnsi="Arial" w:cs="Arial"/>
          <w:sz w:val="16"/>
          <w:szCs w:val="16"/>
        </w:rPr>
        <w:lastRenderedPageBreak/>
        <w:t>2009-10 MIV administration and wild-type infections coincided, such that some cases in the risk interval following vaccination</w:t>
      </w:r>
      <w:r w:rsidR="002D401C">
        <w:rPr>
          <w:rFonts w:ascii="Arial" w:hAnsi="Arial" w:cs="Arial"/>
          <w:sz w:val="16"/>
          <w:szCs w:val="16"/>
        </w:rPr>
        <w:t xml:space="preserve"> </w:t>
      </w:r>
      <w:r w:rsidRPr="00D93FF2">
        <w:rPr>
          <w:rFonts w:ascii="Arial" w:hAnsi="Arial" w:cs="Arial"/>
          <w:sz w:val="16"/>
          <w:szCs w:val="16"/>
        </w:rPr>
        <w:t>may have been due to infection</w:t>
      </w:r>
      <w:r w:rsidR="00D057C1">
        <w:rPr>
          <w:rFonts w:ascii="Arial" w:hAnsi="Arial" w:cs="Arial"/>
          <w:sz w:val="16"/>
          <w:szCs w:val="16"/>
        </w:rPr>
        <w:t>, while cases in the control interval following vaccination were unlikely to be due to infection</w:t>
      </w:r>
      <w:r w:rsidR="008371BA">
        <w:rPr>
          <w:rFonts w:ascii="Arial" w:hAnsi="Arial" w:cs="Arial"/>
          <w:sz w:val="16"/>
          <w:szCs w:val="16"/>
        </w:rPr>
        <w:t>.</w:t>
      </w:r>
    </w:p>
    <w:p w:rsidR="007E7BB4" w:rsidRPr="006E60E3" w:rsidRDefault="007E7BB4" w:rsidP="007E7BB4">
      <w:pPr>
        <w:pStyle w:val="ListParagraph"/>
        <w:numPr>
          <w:ilvl w:val="0"/>
          <w:numId w:val="24"/>
        </w:numPr>
        <w:rPr>
          <w:rFonts w:ascii="Arial" w:hAnsi="Arial" w:cs="Arial"/>
          <w:sz w:val="16"/>
          <w:szCs w:val="16"/>
        </w:rPr>
      </w:pPr>
      <w:r w:rsidRPr="00D93FF2">
        <w:rPr>
          <w:rFonts w:ascii="Arial" w:hAnsi="Arial" w:cs="Arial"/>
          <w:sz w:val="16"/>
          <w:szCs w:val="16"/>
        </w:rPr>
        <w:t>It is not valid to use a self-controlled case series design restricting to</w:t>
      </w:r>
      <w:r w:rsidRPr="006E60E3">
        <w:rPr>
          <w:rFonts w:ascii="Arial" w:hAnsi="Arial" w:cs="Arial"/>
          <w:sz w:val="16"/>
          <w:szCs w:val="16"/>
        </w:rPr>
        <w:t xml:space="preserve"> a subpopulation of patients with a positive history of infection relative to GBS, without adjusting for the time-varying risk of that infection.  For each case, if the timing of the infection was in the risk interval for vaccination, some of the risk in the </w:t>
      </w:r>
      <w:r w:rsidR="00E720B6">
        <w:rPr>
          <w:rFonts w:ascii="Arial" w:hAnsi="Arial" w:cs="Arial"/>
          <w:sz w:val="16"/>
          <w:szCs w:val="16"/>
        </w:rPr>
        <w:t xml:space="preserve">vaccination </w:t>
      </w:r>
      <w:r w:rsidRPr="006E60E3">
        <w:rPr>
          <w:rFonts w:ascii="Arial" w:hAnsi="Arial" w:cs="Arial"/>
          <w:sz w:val="16"/>
          <w:szCs w:val="16"/>
        </w:rPr>
        <w:t xml:space="preserve">risk interval may be due to infection, but all elevated risk is attributed to the vaccine, biasing away from the null.  In contrast, if the timing of the infection was in the control interval for vaccination, then the control interval is an elevated estimate of the baseline risk, biasing toward the null. </w:t>
      </w:r>
    </w:p>
    <w:p w:rsidR="00F631A8" w:rsidRPr="00BD4320" w:rsidRDefault="00F631A8" w:rsidP="007D0F55">
      <w:pPr>
        <w:ind w:firstLine="0"/>
        <w:rPr>
          <w:rFonts w:cs="Times New Roman"/>
          <w:sz w:val="24"/>
          <w:szCs w:val="24"/>
        </w:rPr>
      </w:pPr>
    </w:p>
    <w:sectPr w:rsidR="00F631A8" w:rsidRPr="00BD4320" w:rsidSect="00E066FE">
      <w:headerReference w:type="even" r:id="rId9"/>
      <w:headerReference w:type="default" r:id="rId10"/>
      <w:footerReference w:type="even" r:id="rId11"/>
      <w:footerReference w:type="default" r:id="rId12"/>
      <w:headerReference w:type="first" r:id="rId13"/>
      <w:footerReference w:type="first" r:id="rId14"/>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E0E" w:rsidRDefault="00504E0E" w:rsidP="00A133FD">
      <w:pPr>
        <w:spacing w:line="240" w:lineRule="auto"/>
      </w:pPr>
      <w:r>
        <w:separator/>
      </w:r>
    </w:p>
  </w:endnote>
  <w:endnote w:type="continuationSeparator" w:id="0">
    <w:p w:rsidR="00504E0E" w:rsidRDefault="00504E0E" w:rsidP="00A13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OTNEJMQuadraat">
    <w:altName w:val="Times New Roman"/>
    <w:panose1 w:val="00000000000000000000"/>
    <w:charset w:val="A3"/>
    <w:family w:val="roman"/>
    <w:notTrueType/>
    <w:pitch w:val="default"/>
    <w:sig w:usb0="20000001" w:usb1="080E0000" w:usb2="00000010" w:usb3="00000000" w:csb0="00040100" w:csb1="00000000"/>
  </w:font>
  <w:font w:name="FreeSans">
    <w:altName w:val="MS Mincho"/>
    <w:panose1 w:val="00000000000000000000"/>
    <w:charset w:val="80"/>
    <w:family w:val="auto"/>
    <w:notTrueType/>
    <w:pitch w:val="default"/>
    <w:sig w:usb0="00000000" w:usb1="08070000" w:usb2="00000010" w:usb3="00000000" w:csb0="00020000" w:csb1="00000000"/>
  </w:font>
  <w:font w:name="FreeSerif">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FE" w:rsidRDefault="00E066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C4" w:rsidRDefault="00F93EC4">
    <w:pPr>
      <w:pStyle w:val="Footer"/>
      <w:jc w:val="right"/>
    </w:pPr>
  </w:p>
  <w:p w:rsidR="00F93EC4" w:rsidRDefault="00F93E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FE" w:rsidRDefault="00E06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E0E" w:rsidRDefault="00504E0E" w:rsidP="00A133FD">
      <w:pPr>
        <w:spacing w:line="240" w:lineRule="auto"/>
      </w:pPr>
      <w:r>
        <w:separator/>
      </w:r>
    </w:p>
  </w:footnote>
  <w:footnote w:type="continuationSeparator" w:id="0">
    <w:p w:rsidR="00504E0E" w:rsidRDefault="00504E0E" w:rsidP="00A133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FE" w:rsidRDefault="00E066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C4" w:rsidRDefault="00F93EC4" w:rsidP="00AC745D">
    <w:pPr>
      <w:pStyle w:val="Header"/>
      <w:ind w:firstLine="0"/>
    </w:pPr>
    <w:r>
      <w:rPr>
        <w:i/>
        <w:sz w:val="20"/>
        <w:szCs w:val="20"/>
      </w:rPr>
      <w:tab/>
    </w:r>
    <w:r>
      <w:rPr>
        <w:i/>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FE" w:rsidRDefault="00E066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CED54D"/>
    <w:multiLevelType w:val="hybridMultilevel"/>
    <w:tmpl w:val="92695D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801FD9"/>
    <w:multiLevelType w:val="hybridMultilevel"/>
    <w:tmpl w:val="E530E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3C4B7E"/>
    <w:multiLevelType w:val="hybridMultilevel"/>
    <w:tmpl w:val="B18E0C08"/>
    <w:lvl w:ilvl="0" w:tplc="E6CEF972">
      <w:start w:val="1"/>
      <w:numFmt w:val="bullet"/>
      <w:lvlText w:val="•"/>
      <w:lvlJc w:val="left"/>
      <w:pPr>
        <w:tabs>
          <w:tab w:val="num" w:pos="720"/>
        </w:tabs>
        <w:ind w:left="720" w:hanging="360"/>
      </w:pPr>
      <w:rPr>
        <w:rFonts w:ascii="Times New Roman" w:hAnsi="Times New Roman" w:hint="default"/>
      </w:rPr>
    </w:lvl>
    <w:lvl w:ilvl="1" w:tplc="17AA543C">
      <w:start w:val="1"/>
      <w:numFmt w:val="bullet"/>
      <w:lvlText w:val="•"/>
      <w:lvlJc w:val="left"/>
      <w:pPr>
        <w:tabs>
          <w:tab w:val="num" w:pos="1440"/>
        </w:tabs>
        <w:ind w:left="1440" w:hanging="360"/>
      </w:pPr>
      <w:rPr>
        <w:rFonts w:ascii="Times New Roman" w:hAnsi="Times New Roman" w:hint="default"/>
      </w:rPr>
    </w:lvl>
    <w:lvl w:ilvl="2" w:tplc="16A03C56" w:tentative="1">
      <w:start w:val="1"/>
      <w:numFmt w:val="bullet"/>
      <w:lvlText w:val="•"/>
      <w:lvlJc w:val="left"/>
      <w:pPr>
        <w:tabs>
          <w:tab w:val="num" w:pos="2160"/>
        </w:tabs>
        <w:ind w:left="2160" w:hanging="360"/>
      </w:pPr>
      <w:rPr>
        <w:rFonts w:ascii="Times New Roman" w:hAnsi="Times New Roman" w:hint="default"/>
      </w:rPr>
    </w:lvl>
    <w:lvl w:ilvl="3" w:tplc="09F43CF8" w:tentative="1">
      <w:start w:val="1"/>
      <w:numFmt w:val="bullet"/>
      <w:lvlText w:val="•"/>
      <w:lvlJc w:val="left"/>
      <w:pPr>
        <w:tabs>
          <w:tab w:val="num" w:pos="2880"/>
        </w:tabs>
        <w:ind w:left="2880" w:hanging="360"/>
      </w:pPr>
      <w:rPr>
        <w:rFonts w:ascii="Times New Roman" w:hAnsi="Times New Roman" w:hint="default"/>
      </w:rPr>
    </w:lvl>
    <w:lvl w:ilvl="4" w:tplc="81D66CF0" w:tentative="1">
      <w:start w:val="1"/>
      <w:numFmt w:val="bullet"/>
      <w:lvlText w:val="•"/>
      <w:lvlJc w:val="left"/>
      <w:pPr>
        <w:tabs>
          <w:tab w:val="num" w:pos="3600"/>
        </w:tabs>
        <w:ind w:left="3600" w:hanging="360"/>
      </w:pPr>
      <w:rPr>
        <w:rFonts w:ascii="Times New Roman" w:hAnsi="Times New Roman" w:hint="default"/>
      </w:rPr>
    </w:lvl>
    <w:lvl w:ilvl="5" w:tplc="B66A7B1E" w:tentative="1">
      <w:start w:val="1"/>
      <w:numFmt w:val="bullet"/>
      <w:lvlText w:val="•"/>
      <w:lvlJc w:val="left"/>
      <w:pPr>
        <w:tabs>
          <w:tab w:val="num" w:pos="4320"/>
        </w:tabs>
        <w:ind w:left="4320" w:hanging="360"/>
      </w:pPr>
      <w:rPr>
        <w:rFonts w:ascii="Times New Roman" w:hAnsi="Times New Roman" w:hint="default"/>
      </w:rPr>
    </w:lvl>
    <w:lvl w:ilvl="6" w:tplc="BDD2D150" w:tentative="1">
      <w:start w:val="1"/>
      <w:numFmt w:val="bullet"/>
      <w:lvlText w:val="•"/>
      <w:lvlJc w:val="left"/>
      <w:pPr>
        <w:tabs>
          <w:tab w:val="num" w:pos="5040"/>
        </w:tabs>
        <w:ind w:left="5040" w:hanging="360"/>
      </w:pPr>
      <w:rPr>
        <w:rFonts w:ascii="Times New Roman" w:hAnsi="Times New Roman" w:hint="default"/>
      </w:rPr>
    </w:lvl>
    <w:lvl w:ilvl="7" w:tplc="6B1C975C" w:tentative="1">
      <w:start w:val="1"/>
      <w:numFmt w:val="bullet"/>
      <w:lvlText w:val="•"/>
      <w:lvlJc w:val="left"/>
      <w:pPr>
        <w:tabs>
          <w:tab w:val="num" w:pos="5760"/>
        </w:tabs>
        <w:ind w:left="5760" w:hanging="360"/>
      </w:pPr>
      <w:rPr>
        <w:rFonts w:ascii="Times New Roman" w:hAnsi="Times New Roman" w:hint="default"/>
      </w:rPr>
    </w:lvl>
    <w:lvl w:ilvl="8" w:tplc="246A54B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B17FA6"/>
    <w:multiLevelType w:val="hybridMultilevel"/>
    <w:tmpl w:val="A94A0688"/>
    <w:lvl w:ilvl="0" w:tplc="0D04BD52">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D6679"/>
    <w:multiLevelType w:val="hybridMultilevel"/>
    <w:tmpl w:val="DE18E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90427B"/>
    <w:multiLevelType w:val="hybridMultilevel"/>
    <w:tmpl w:val="34E6C076"/>
    <w:lvl w:ilvl="0" w:tplc="D62031D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D51C7C"/>
    <w:multiLevelType w:val="hybridMultilevel"/>
    <w:tmpl w:val="2FC26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8A4B67"/>
    <w:multiLevelType w:val="hybridMultilevel"/>
    <w:tmpl w:val="805834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947CB7"/>
    <w:multiLevelType w:val="hybridMultilevel"/>
    <w:tmpl w:val="B956AA5A"/>
    <w:lvl w:ilvl="0" w:tplc="B6A43AE6">
      <w:start w:val="1"/>
      <w:numFmt w:val="bullet"/>
      <w:lvlText w:val="•"/>
      <w:lvlJc w:val="left"/>
      <w:pPr>
        <w:tabs>
          <w:tab w:val="num" w:pos="720"/>
        </w:tabs>
        <w:ind w:left="720" w:hanging="360"/>
      </w:pPr>
      <w:rPr>
        <w:rFonts w:ascii="Times New Roman" w:hAnsi="Times New Roman" w:hint="default"/>
      </w:rPr>
    </w:lvl>
    <w:lvl w:ilvl="1" w:tplc="F39A2234" w:tentative="1">
      <w:start w:val="1"/>
      <w:numFmt w:val="bullet"/>
      <w:lvlText w:val="•"/>
      <w:lvlJc w:val="left"/>
      <w:pPr>
        <w:tabs>
          <w:tab w:val="num" w:pos="1440"/>
        </w:tabs>
        <w:ind w:left="1440" w:hanging="360"/>
      </w:pPr>
      <w:rPr>
        <w:rFonts w:ascii="Times New Roman" w:hAnsi="Times New Roman" w:hint="default"/>
      </w:rPr>
    </w:lvl>
    <w:lvl w:ilvl="2" w:tplc="8774F928">
      <w:start w:val="1"/>
      <w:numFmt w:val="bullet"/>
      <w:lvlText w:val="•"/>
      <w:lvlJc w:val="left"/>
      <w:pPr>
        <w:tabs>
          <w:tab w:val="num" w:pos="2160"/>
        </w:tabs>
        <w:ind w:left="2160" w:hanging="360"/>
      </w:pPr>
      <w:rPr>
        <w:rFonts w:ascii="Times New Roman" w:hAnsi="Times New Roman" w:hint="default"/>
      </w:rPr>
    </w:lvl>
    <w:lvl w:ilvl="3" w:tplc="F97826EA" w:tentative="1">
      <w:start w:val="1"/>
      <w:numFmt w:val="bullet"/>
      <w:lvlText w:val="•"/>
      <w:lvlJc w:val="left"/>
      <w:pPr>
        <w:tabs>
          <w:tab w:val="num" w:pos="2880"/>
        </w:tabs>
        <w:ind w:left="2880" w:hanging="360"/>
      </w:pPr>
      <w:rPr>
        <w:rFonts w:ascii="Times New Roman" w:hAnsi="Times New Roman" w:hint="default"/>
      </w:rPr>
    </w:lvl>
    <w:lvl w:ilvl="4" w:tplc="3DF8CEEA" w:tentative="1">
      <w:start w:val="1"/>
      <w:numFmt w:val="bullet"/>
      <w:lvlText w:val="•"/>
      <w:lvlJc w:val="left"/>
      <w:pPr>
        <w:tabs>
          <w:tab w:val="num" w:pos="3600"/>
        </w:tabs>
        <w:ind w:left="3600" w:hanging="360"/>
      </w:pPr>
      <w:rPr>
        <w:rFonts w:ascii="Times New Roman" w:hAnsi="Times New Roman" w:hint="default"/>
      </w:rPr>
    </w:lvl>
    <w:lvl w:ilvl="5" w:tplc="5D7834D4" w:tentative="1">
      <w:start w:val="1"/>
      <w:numFmt w:val="bullet"/>
      <w:lvlText w:val="•"/>
      <w:lvlJc w:val="left"/>
      <w:pPr>
        <w:tabs>
          <w:tab w:val="num" w:pos="4320"/>
        </w:tabs>
        <w:ind w:left="4320" w:hanging="360"/>
      </w:pPr>
      <w:rPr>
        <w:rFonts w:ascii="Times New Roman" w:hAnsi="Times New Roman" w:hint="default"/>
      </w:rPr>
    </w:lvl>
    <w:lvl w:ilvl="6" w:tplc="301AC7C2" w:tentative="1">
      <w:start w:val="1"/>
      <w:numFmt w:val="bullet"/>
      <w:lvlText w:val="•"/>
      <w:lvlJc w:val="left"/>
      <w:pPr>
        <w:tabs>
          <w:tab w:val="num" w:pos="5040"/>
        </w:tabs>
        <w:ind w:left="5040" w:hanging="360"/>
      </w:pPr>
      <w:rPr>
        <w:rFonts w:ascii="Times New Roman" w:hAnsi="Times New Roman" w:hint="default"/>
      </w:rPr>
    </w:lvl>
    <w:lvl w:ilvl="7" w:tplc="D414C2C0" w:tentative="1">
      <w:start w:val="1"/>
      <w:numFmt w:val="bullet"/>
      <w:lvlText w:val="•"/>
      <w:lvlJc w:val="left"/>
      <w:pPr>
        <w:tabs>
          <w:tab w:val="num" w:pos="5760"/>
        </w:tabs>
        <w:ind w:left="5760" w:hanging="360"/>
      </w:pPr>
      <w:rPr>
        <w:rFonts w:ascii="Times New Roman" w:hAnsi="Times New Roman" w:hint="default"/>
      </w:rPr>
    </w:lvl>
    <w:lvl w:ilvl="8" w:tplc="F8A461A4" w:tentative="1">
      <w:start w:val="1"/>
      <w:numFmt w:val="bullet"/>
      <w:lvlText w:val="•"/>
      <w:lvlJc w:val="left"/>
      <w:pPr>
        <w:tabs>
          <w:tab w:val="num" w:pos="6480"/>
        </w:tabs>
        <w:ind w:left="6480" w:hanging="360"/>
      </w:pPr>
      <w:rPr>
        <w:rFonts w:ascii="Times New Roman" w:hAnsi="Times New Roman" w:hint="default"/>
      </w:rPr>
    </w:lvl>
  </w:abstractNum>
  <w:abstractNum w:abstractNumId="9">
    <w:nsid w:val="19EB7B75"/>
    <w:multiLevelType w:val="hybridMultilevel"/>
    <w:tmpl w:val="438E22B8"/>
    <w:lvl w:ilvl="0" w:tplc="DE62115C">
      <w:start w:val="43"/>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FA0D88"/>
    <w:multiLevelType w:val="hybridMultilevel"/>
    <w:tmpl w:val="9BDCE6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CE7086B"/>
    <w:multiLevelType w:val="hybridMultilevel"/>
    <w:tmpl w:val="2480990E"/>
    <w:lvl w:ilvl="0" w:tplc="0409000F">
      <w:start w:val="1"/>
      <w:numFmt w:val="decimal"/>
      <w:lvlText w:val="%1."/>
      <w:lvlJc w:val="left"/>
      <w:pPr>
        <w:tabs>
          <w:tab w:val="num" w:pos="720"/>
        </w:tabs>
        <w:ind w:left="720" w:hanging="360"/>
      </w:pPr>
    </w:lvl>
    <w:lvl w:ilvl="1" w:tplc="9D3466CA">
      <w:start w:val="1"/>
      <w:numFmt w:val="lowerLetter"/>
      <w:lvlText w:val="%2."/>
      <w:lvlJc w:val="left"/>
      <w:pPr>
        <w:tabs>
          <w:tab w:val="num" w:pos="1440"/>
        </w:tabs>
        <w:ind w:left="1440" w:hanging="360"/>
      </w:pPr>
      <w:rPr>
        <w:rFonts w:hint="default"/>
        <w:b w:val="0"/>
        <w:i w:val="0"/>
      </w:rPr>
    </w:lvl>
    <w:lvl w:ilvl="2" w:tplc="5512E510">
      <w:start w:val="1"/>
      <w:numFmt w:val="lowerRoman"/>
      <w:lvlText w:val="%3."/>
      <w:lvlJc w:val="right"/>
      <w:pPr>
        <w:tabs>
          <w:tab w:val="num" w:pos="2160"/>
        </w:tabs>
        <w:ind w:left="2160" w:hanging="180"/>
      </w:pPr>
      <w:rPr>
        <w:rFonts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7E40B3"/>
    <w:multiLevelType w:val="hybridMultilevel"/>
    <w:tmpl w:val="849CD008"/>
    <w:lvl w:ilvl="0" w:tplc="B0820860">
      <w:start w:val="3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42B3752"/>
    <w:multiLevelType w:val="hybridMultilevel"/>
    <w:tmpl w:val="ED6E499C"/>
    <w:lvl w:ilvl="0" w:tplc="776871AE">
      <w:start w:val="8"/>
      <w:numFmt w:val="decimal"/>
      <w:lvlText w:val="%1."/>
      <w:lvlJc w:val="left"/>
      <w:pPr>
        <w:tabs>
          <w:tab w:val="num" w:pos="1080"/>
        </w:tabs>
        <w:ind w:left="1080" w:hanging="360"/>
      </w:pPr>
      <w:rPr>
        <w:rFonts w:ascii="Times New Roman" w:hAnsi="Times New Roman"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5773A2"/>
    <w:multiLevelType w:val="hybridMultilevel"/>
    <w:tmpl w:val="C5B8B9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077E36"/>
    <w:multiLevelType w:val="hybridMultilevel"/>
    <w:tmpl w:val="4C66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22072D"/>
    <w:multiLevelType w:val="hybridMultilevel"/>
    <w:tmpl w:val="A43E4C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C06B46"/>
    <w:multiLevelType w:val="hybridMultilevel"/>
    <w:tmpl w:val="74B24478"/>
    <w:lvl w:ilvl="0" w:tplc="D62031D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C6F1DF0"/>
    <w:multiLevelType w:val="hybridMultilevel"/>
    <w:tmpl w:val="85D23DCE"/>
    <w:lvl w:ilvl="0" w:tplc="D62031D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F0A1BBC"/>
    <w:multiLevelType w:val="hybridMultilevel"/>
    <w:tmpl w:val="ED30F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6363D0"/>
    <w:multiLevelType w:val="hybridMultilevel"/>
    <w:tmpl w:val="B77A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E145B8"/>
    <w:multiLevelType w:val="hybridMultilevel"/>
    <w:tmpl w:val="9CF8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2C552D"/>
    <w:multiLevelType w:val="hybridMultilevel"/>
    <w:tmpl w:val="E7A095B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583473C"/>
    <w:multiLevelType w:val="hybridMultilevel"/>
    <w:tmpl w:val="63A2D5A6"/>
    <w:lvl w:ilvl="0" w:tplc="6FC8C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4D66AF"/>
    <w:multiLevelType w:val="hybridMultilevel"/>
    <w:tmpl w:val="3C5CE8E2"/>
    <w:lvl w:ilvl="0" w:tplc="6FC8C1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761317"/>
    <w:multiLevelType w:val="hybridMultilevel"/>
    <w:tmpl w:val="DC6E235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F35F4C"/>
    <w:multiLevelType w:val="hybridMultilevel"/>
    <w:tmpl w:val="50BE0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FE460D"/>
    <w:multiLevelType w:val="hybridMultilevel"/>
    <w:tmpl w:val="66B6B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55314C"/>
    <w:multiLevelType w:val="hybridMultilevel"/>
    <w:tmpl w:val="C0EE1BF6"/>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29">
    <w:nsid w:val="70B51936"/>
    <w:multiLevelType w:val="hybridMultilevel"/>
    <w:tmpl w:val="AB58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813A1D"/>
    <w:multiLevelType w:val="hybridMultilevel"/>
    <w:tmpl w:val="58C61B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6"/>
  </w:num>
  <w:num w:numId="3">
    <w:abstractNumId w:val="23"/>
  </w:num>
  <w:num w:numId="4">
    <w:abstractNumId w:val="11"/>
  </w:num>
  <w:num w:numId="5">
    <w:abstractNumId w:val="29"/>
  </w:num>
  <w:num w:numId="6">
    <w:abstractNumId w:val="24"/>
  </w:num>
  <w:num w:numId="7">
    <w:abstractNumId w:val="10"/>
  </w:num>
  <w:num w:numId="8">
    <w:abstractNumId w:val="30"/>
  </w:num>
  <w:num w:numId="9">
    <w:abstractNumId w:val="26"/>
  </w:num>
  <w:num w:numId="10">
    <w:abstractNumId w:val="14"/>
  </w:num>
  <w:num w:numId="11">
    <w:abstractNumId w:val="5"/>
  </w:num>
  <w:num w:numId="12">
    <w:abstractNumId w:val="18"/>
  </w:num>
  <w:num w:numId="13">
    <w:abstractNumId w:val="17"/>
  </w:num>
  <w:num w:numId="14">
    <w:abstractNumId w:val="15"/>
  </w:num>
  <w:num w:numId="15">
    <w:abstractNumId w:val="28"/>
  </w:num>
  <w:num w:numId="16">
    <w:abstractNumId w:val="7"/>
  </w:num>
  <w:num w:numId="17">
    <w:abstractNumId w:val="27"/>
  </w:num>
  <w:num w:numId="18">
    <w:abstractNumId w:val="20"/>
  </w:num>
  <w:num w:numId="19">
    <w:abstractNumId w:val="12"/>
  </w:num>
  <w:num w:numId="20">
    <w:abstractNumId w:val="19"/>
  </w:num>
  <w:num w:numId="21">
    <w:abstractNumId w:val="22"/>
  </w:num>
  <w:num w:numId="22">
    <w:abstractNumId w:val="21"/>
  </w:num>
  <w:num w:numId="23">
    <w:abstractNumId w:val="1"/>
  </w:num>
  <w:num w:numId="24">
    <w:abstractNumId w:val="25"/>
  </w:num>
  <w:num w:numId="25">
    <w:abstractNumId w:val="0"/>
  </w:num>
  <w:num w:numId="26">
    <w:abstractNumId w:val="3"/>
  </w:num>
  <w:num w:numId="27">
    <w:abstractNumId w:val="6"/>
  </w:num>
  <w:num w:numId="28">
    <w:abstractNumId w:val="4"/>
  </w:num>
  <w:num w:numId="29">
    <w:abstractNumId w:val="9"/>
  </w:num>
  <w:num w:numId="30">
    <w:abstractNumId w:val="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2"/>
  </w:compat>
  <w:docVars>
    <w:docVar w:name="_AMO_XmlVersion" w:val="Empty"/>
    <w:docVar w:name="EN.InstantFormat" w:val="&lt;ENInstantFormat&gt;&lt;Enabled&gt;0&lt;/Enabled&gt;&lt;ScanUnformatted&gt;1&lt;/ScanUnformatted&gt;&lt;ScanChanges&gt;1&lt;/ScanChanges&gt;&lt;/ENInstantFormat&gt;"/>
    <w:docVar w:name="EN.Layout" w:val="&lt;ENLayout&gt;&lt;Style&gt;JAMA&lt;/Style&gt;&lt;LeftDelim&gt;{&lt;/LeftDelim&gt;&lt;RightDelim&gt;}&lt;/RightDelim&gt;&lt;FontName&gt;Calibri&lt;/FontName&gt;&lt;FontSize&gt;11&lt;/FontSize&gt;&lt;ReflistTitle&gt;&amp;#xA;&amp;#xA;&amp;#xA;&amp;#xA;&lt;/ReflistTitle&gt;&lt;StartingRefnum&gt;1&lt;/StartingRefnum&gt;&lt;FirstLineIndent&gt;0&lt;/FirstLineIndent&gt;&lt;HangingIndent&gt;720&lt;/HangingIndent&gt;&lt;LineSpacing&gt;0&lt;/LineSpacing&gt;&lt;SpaceAfter&gt;1&lt;/SpaceAfter&gt;&lt;/ENLayout&gt;"/>
    <w:docVar w:name="EN.Libraries" w:val="&lt;ENLibraries&gt;&lt;Libraries&gt;&lt;item&gt;InfectionVsVaccine.enl&lt;/item&gt;&lt;/Libraries&gt;&lt;/ENLibraries&gt;"/>
  </w:docVars>
  <w:rsids>
    <w:rsidRoot w:val="007E49A8"/>
    <w:rsid w:val="00000B55"/>
    <w:rsid w:val="00000FE6"/>
    <w:rsid w:val="00001AFA"/>
    <w:rsid w:val="0000293C"/>
    <w:rsid w:val="00003268"/>
    <w:rsid w:val="000032FF"/>
    <w:rsid w:val="00003701"/>
    <w:rsid w:val="00004524"/>
    <w:rsid w:val="00005558"/>
    <w:rsid w:val="0000665B"/>
    <w:rsid w:val="00006979"/>
    <w:rsid w:val="00007098"/>
    <w:rsid w:val="0000741D"/>
    <w:rsid w:val="0001018C"/>
    <w:rsid w:val="00011120"/>
    <w:rsid w:val="00011343"/>
    <w:rsid w:val="000113F2"/>
    <w:rsid w:val="00011FA1"/>
    <w:rsid w:val="00012E85"/>
    <w:rsid w:val="00013969"/>
    <w:rsid w:val="00013E7A"/>
    <w:rsid w:val="00014375"/>
    <w:rsid w:val="0001496D"/>
    <w:rsid w:val="00014B61"/>
    <w:rsid w:val="00014CBB"/>
    <w:rsid w:val="00015D60"/>
    <w:rsid w:val="00016E92"/>
    <w:rsid w:val="00017CE1"/>
    <w:rsid w:val="00017D24"/>
    <w:rsid w:val="00020494"/>
    <w:rsid w:val="000220AE"/>
    <w:rsid w:val="00023544"/>
    <w:rsid w:val="00023EC9"/>
    <w:rsid w:val="00024120"/>
    <w:rsid w:val="000249B3"/>
    <w:rsid w:val="00026E5A"/>
    <w:rsid w:val="00027BBE"/>
    <w:rsid w:val="00031409"/>
    <w:rsid w:val="0003201A"/>
    <w:rsid w:val="0003277D"/>
    <w:rsid w:val="00032D7B"/>
    <w:rsid w:val="00032F12"/>
    <w:rsid w:val="000349AA"/>
    <w:rsid w:val="00034BB0"/>
    <w:rsid w:val="0003627C"/>
    <w:rsid w:val="000364EE"/>
    <w:rsid w:val="000371F5"/>
    <w:rsid w:val="00037A7E"/>
    <w:rsid w:val="00037EB1"/>
    <w:rsid w:val="000405FD"/>
    <w:rsid w:val="00040C32"/>
    <w:rsid w:val="00040FF4"/>
    <w:rsid w:val="00042150"/>
    <w:rsid w:val="000422CE"/>
    <w:rsid w:val="00042D5F"/>
    <w:rsid w:val="00043DED"/>
    <w:rsid w:val="0004407C"/>
    <w:rsid w:val="0004409E"/>
    <w:rsid w:val="00044943"/>
    <w:rsid w:val="00044F53"/>
    <w:rsid w:val="00045915"/>
    <w:rsid w:val="00045EB9"/>
    <w:rsid w:val="00046AF0"/>
    <w:rsid w:val="00046C54"/>
    <w:rsid w:val="00047504"/>
    <w:rsid w:val="00047E9E"/>
    <w:rsid w:val="00050A99"/>
    <w:rsid w:val="00050AA3"/>
    <w:rsid w:val="00051D04"/>
    <w:rsid w:val="00052889"/>
    <w:rsid w:val="00054568"/>
    <w:rsid w:val="000553CD"/>
    <w:rsid w:val="00055B55"/>
    <w:rsid w:val="00055F2A"/>
    <w:rsid w:val="000568A6"/>
    <w:rsid w:val="00056D98"/>
    <w:rsid w:val="00056E45"/>
    <w:rsid w:val="000575E9"/>
    <w:rsid w:val="00057F20"/>
    <w:rsid w:val="00057F62"/>
    <w:rsid w:val="00062B59"/>
    <w:rsid w:val="00063FE8"/>
    <w:rsid w:val="00065A0F"/>
    <w:rsid w:val="00067457"/>
    <w:rsid w:val="00067F74"/>
    <w:rsid w:val="000707C5"/>
    <w:rsid w:val="00072165"/>
    <w:rsid w:val="00072EAA"/>
    <w:rsid w:val="0007303A"/>
    <w:rsid w:val="000732CB"/>
    <w:rsid w:val="000738D5"/>
    <w:rsid w:val="00074242"/>
    <w:rsid w:val="00074470"/>
    <w:rsid w:val="00074697"/>
    <w:rsid w:val="0007565C"/>
    <w:rsid w:val="00076F59"/>
    <w:rsid w:val="000805E8"/>
    <w:rsid w:val="00080BC5"/>
    <w:rsid w:val="00081B69"/>
    <w:rsid w:val="00082030"/>
    <w:rsid w:val="000827AE"/>
    <w:rsid w:val="00082D1B"/>
    <w:rsid w:val="00083347"/>
    <w:rsid w:val="000834A3"/>
    <w:rsid w:val="00083597"/>
    <w:rsid w:val="00084376"/>
    <w:rsid w:val="00085625"/>
    <w:rsid w:val="000857AA"/>
    <w:rsid w:val="00085868"/>
    <w:rsid w:val="000858C9"/>
    <w:rsid w:val="00086CE5"/>
    <w:rsid w:val="00086DE5"/>
    <w:rsid w:val="000878F3"/>
    <w:rsid w:val="000879CA"/>
    <w:rsid w:val="00087E0F"/>
    <w:rsid w:val="00087F45"/>
    <w:rsid w:val="00090EBF"/>
    <w:rsid w:val="000924A7"/>
    <w:rsid w:val="00092DE3"/>
    <w:rsid w:val="000930F1"/>
    <w:rsid w:val="0009359E"/>
    <w:rsid w:val="000945C8"/>
    <w:rsid w:val="00095055"/>
    <w:rsid w:val="00095402"/>
    <w:rsid w:val="00095923"/>
    <w:rsid w:val="0009631C"/>
    <w:rsid w:val="0009653D"/>
    <w:rsid w:val="00096C7C"/>
    <w:rsid w:val="00097495"/>
    <w:rsid w:val="000A0CE5"/>
    <w:rsid w:val="000A19F4"/>
    <w:rsid w:val="000A28F9"/>
    <w:rsid w:val="000A336A"/>
    <w:rsid w:val="000A338C"/>
    <w:rsid w:val="000A4731"/>
    <w:rsid w:val="000A4985"/>
    <w:rsid w:val="000A6C63"/>
    <w:rsid w:val="000A7084"/>
    <w:rsid w:val="000A7C44"/>
    <w:rsid w:val="000B06F1"/>
    <w:rsid w:val="000B0CC3"/>
    <w:rsid w:val="000B27DF"/>
    <w:rsid w:val="000B31C4"/>
    <w:rsid w:val="000B3549"/>
    <w:rsid w:val="000B3B6D"/>
    <w:rsid w:val="000B4052"/>
    <w:rsid w:val="000B43EA"/>
    <w:rsid w:val="000B477F"/>
    <w:rsid w:val="000B4B2E"/>
    <w:rsid w:val="000B6782"/>
    <w:rsid w:val="000B6CA6"/>
    <w:rsid w:val="000B6D26"/>
    <w:rsid w:val="000B7299"/>
    <w:rsid w:val="000B7823"/>
    <w:rsid w:val="000C1C93"/>
    <w:rsid w:val="000C23B1"/>
    <w:rsid w:val="000C3B22"/>
    <w:rsid w:val="000C3E32"/>
    <w:rsid w:val="000C4D86"/>
    <w:rsid w:val="000C5591"/>
    <w:rsid w:val="000C7762"/>
    <w:rsid w:val="000C7AA0"/>
    <w:rsid w:val="000D1CD7"/>
    <w:rsid w:val="000D2AEA"/>
    <w:rsid w:val="000D4010"/>
    <w:rsid w:val="000D53CE"/>
    <w:rsid w:val="000D647A"/>
    <w:rsid w:val="000D6997"/>
    <w:rsid w:val="000D6A6E"/>
    <w:rsid w:val="000D6BBD"/>
    <w:rsid w:val="000E037C"/>
    <w:rsid w:val="000E0E35"/>
    <w:rsid w:val="000E1104"/>
    <w:rsid w:val="000E22BB"/>
    <w:rsid w:val="000E56AE"/>
    <w:rsid w:val="000E5945"/>
    <w:rsid w:val="000E59B5"/>
    <w:rsid w:val="000E5F31"/>
    <w:rsid w:val="000E6DEA"/>
    <w:rsid w:val="000E7226"/>
    <w:rsid w:val="000E7484"/>
    <w:rsid w:val="000F02CA"/>
    <w:rsid w:val="000F1165"/>
    <w:rsid w:val="000F1AB6"/>
    <w:rsid w:val="000F25E6"/>
    <w:rsid w:val="000F35BF"/>
    <w:rsid w:val="000F3912"/>
    <w:rsid w:val="000F3F17"/>
    <w:rsid w:val="000F5306"/>
    <w:rsid w:val="000F582A"/>
    <w:rsid w:val="000F593D"/>
    <w:rsid w:val="000F5E2B"/>
    <w:rsid w:val="000F6495"/>
    <w:rsid w:val="000F72E4"/>
    <w:rsid w:val="000F78F8"/>
    <w:rsid w:val="000F7A4D"/>
    <w:rsid w:val="000F7DF9"/>
    <w:rsid w:val="001002E2"/>
    <w:rsid w:val="00100DF9"/>
    <w:rsid w:val="00100EE0"/>
    <w:rsid w:val="001013E3"/>
    <w:rsid w:val="00101D3B"/>
    <w:rsid w:val="00102C76"/>
    <w:rsid w:val="00102EE4"/>
    <w:rsid w:val="00103BD4"/>
    <w:rsid w:val="0010459F"/>
    <w:rsid w:val="00104931"/>
    <w:rsid w:val="00104A66"/>
    <w:rsid w:val="00104ACB"/>
    <w:rsid w:val="0010532C"/>
    <w:rsid w:val="00106C91"/>
    <w:rsid w:val="00107079"/>
    <w:rsid w:val="001105DB"/>
    <w:rsid w:val="00111855"/>
    <w:rsid w:val="00112CCB"/>
    <w:rsid w:val="0011369E"/>
    <w:rsid w:val="001138B0"/>
    <w:rsid w:val="00114008"/>
    <w:rsid w:val="00114688"/>
    <w:rsid w:val="0011539D"/>
    <w:rsid w:val="00115DD5"/>
    <w:rsid w:val="001162EB"/>
    <w:rsid w:val="00116405"/>
    <w:rsid w:val="00116614"/>
    <w:rsid w:val="00120CFA"/>
    <w:rsid w:val="00121244"/>
    <w:rsid w:val="0012173F"/>
    <w:rsid w:val="00122B75"/>
    <w:rsid w:val="001235E5"/>
    <w:rsid w:val="0012408B"/>
    <w:rsid w:val="00125588"/>
    <w:rsid w:val="001265D9"/>
    <w:rsid w:val="00126E90"/>
    <w:rsid w:val="00127795"/>
    <w:rsid w:val="00130000"/>
    <w:rsid w:val="001303E1"/>
    <w:rsid w:val="00130A5A"/>
    <w:rsid w:val="00133146"/>
    <w:rsid w:val="0013377F"/>
    <w:rsid w:val="00133B8E"/>
    <w:rsid w:val="00134860"/>
    <w:rsid w:val="001349AC"/>
    <w:rsid w:val="00134CED"/>
    <w:rsid w:val="001355FC"/>
    <w:rsid w:val="001357B6"/>
    <w:rsid w:val="001357CC"/>
    <w:rsid w:val="001367C0"/>
    <w:rsid w:val="00136DFC"/>
    <w:rsid w:val="00140A78"/>
    <w:rsid w:val="00140D75"/>
    <w:rsid w:val="00142910"/>
    <w:rsid w:val="00142E26"/>
    <w:rsid w:val="00142EF7"/>
    <w:rsid w:val="0014346B"/>
    <w:rsid w:val="00143C69"/>
    <w:rsid w:val="001444BF"/>
    <w:rsid w:val="00144D97"/>
    <w:rsid w:val="0014591E"/>
    <w:rsid w:val="00145E02"/>
    <w:rsid w:val="00146080"/>
    <w:rsid w:val="00146E0A"/>
    <w:rsid w:val="00147D41"/>
    <w:rsid w:val="00151102"/>
    <w:rsid w:val="00151191"/>
    <w:rsid w:val="0015120D"/>
    <w:rsid w:val="0015149D"/>
    <w:rsid w:val="00151705"/>
    <w:rsid w:val="00151B31"/>
    <w:rsid w:val="00152250"/>
    <w:rsid w:val="0015251E"/>
    <w:rsid w:val="00152590"/>
    <w:rsid w:val="0015492B"/>
    <w:rsid w:val="00154D50"/>
    <w:rsid w:val="0015702D"/>
    <w:rsid w:val="00157B89"/>
    <w:rsid w:val="00161230"/>
    <w:rsid w:val="00162A0B"/>
    <w:rsid w:val="00163A2F"/>
    <w:rsid w:val="001640F4"/>
    <w:rsid w:val="00164BD7"/>
    <w:rsid w:val="00165179"/>
    <w:rsid w:val="001654DE"/>
    <w:rsid w:val="0016704A"/>
    <w:rsid w:val="001709C7"/>
    <w:rsid w:val="00170D14"/>
    <w:rsid w:val="00170DBB"/>
    <w:rsid w:val="00171843"/>
    <w:rsid w:val="00171B54"/>
    <w:rsid w:val="00171C07"/>
    <w:rsid w:val="0017248E"/>
    <w:rsid w:val="00172737"/>
    <w:rsid w:val="0017348E"/>
    <w:rsid w:val="0017349F"/>
    <w:rsid w:val="00173A73"/>
    <w:rsid w:val="001742A3"/>
    <w:rsid w:val="001744F3"/>
    <w:rsid w:val="00174B42"/>
    <w:rsid w:val="00175185"/>
    <w:rsid w:val="001758F1"/>
    <w:rsid w:val="00176440"/>
    <w:rsid w:val="00176E9C"/>
    <w:rsid w:val="00177443"/>
    <w:rsid w:val="00177C15"/>
    <w:rsid w:val="00177C95"/>
    <w:rsid w:val="00177D7F"/>
    <w:rsid w:val="001801B5"/>
    <w:rsid w:val="0018122C"/>
    <w:rsid w:val="00181EA9"/>
    <w:rsid w:val="0018373A"/>
    <w:rsid w:val="00183D14"/>
    <w:rsid w:val="00184271"/>
    <w:rsid w:val="00184B64"/>
    <w:rsid w:val="00184FF2"/>
    <w:rsid w:val="00185088"/>
    <w:rsid w:val="00185A2B"/>
    <w:rsid w:val="0018657F"/>
    <w:rsid w:val="00186E13"/>
    <w:rsid w:val="0018712A"/>
    <w:rsid w:val="0019060B"/>
    <w:rsid w:val="00191A97"/>
    <w:rsid w:val="0019261F"/>
    <w:rsid w:val="001929A0"/>
    <w:rsid w:val="00194FD5"/>
    <w:rsid w:val="001957B5"/>
    <w:rsid w:val="001959C8"/>
    <w:rsid w:val="00195D6F"/>
    <w:rsid w:val="0019617E"/>
    <w:rsid w:val="001A1007"/>
    <w:rsid w:val="001A147C"/>
    <w:rsid w:val="001A185F"/>
    <w:rsid w:val="001A26E3"/>
    <w:rsid w:val="001A3961"/>
    <w:rsid w:val="001A54D3"/>
    <w:rsid w:val="001A58DC"/>
    <w:rsid w:val="001A5EE4"/>
    <w:rsid w:val="001A631D"/>
    <w:rsid w:val="001A775D"/>
    <w:rsid w:val="001A7B7D"/>
    <w:rsid w:val="001B010A"/>
    <w:rsid w:val="001B0823"/>
    <w:rsid w:val="001B21AB"/>
    <w:rsid w:val="001B24AD"/>
    <w:rsid w:val="001B2F59"/>
    <w:rsid w:val="001B3042"/>
    <w:rsid w:val="001B3178"/>
    <w:rsid w:val="001B330F"/>
    <w:rsid w:val="001B497D"/>
    <w:rsid w:val="001B6D4B"/>
    <w:rsid w:val="001B6FC0"/>
    <w:rsid w:val="001B7A22"/>
    <w:rsid w:val="001B7F43"/>
    <w:rsid w:val="001C0AA0"/>
    <w:rsid w:val="001C4E00"/>
    <w:rsid w:val="001D021A"/>
    <w:rsid w:val="001D0BDD"/>
    <w:rsid w:val="001D3440"/>
    <w:rsid w:val="001D36C9"/>
    <w:rsid w:val="001D3915"/>
    <w:rsid w:val="001D429B"/>
    <w:rsid w:val="001D491F"/>
    <w:rsid w:val="001D5ABE"/>
    <w:rsid w:val="001D5C81"/>
    <w:rsid w:val="001D5FD1"/>
    <w:rsid w:val="001D61F0"/>
    <w:rsid w:val="001D6DDD"/>
    <w:rsid w:val="001E0171"/>
    <w:rsid w:val="001E0A9B"/>
    <w:rsid w:val="001E0BC0"/>
    <w:rsid w:val="001E0BEF"/>
    <w:rsid w:val="001E1008"/>
    <w:rsid w:val="001E1351"/>
    <w:rsid w:val="001E14F4"/>
    <w:rsid w:val="001E1CA2"/>
    <w:rsid w:val="001E2916"/>
    <w:rsid w:val="001E2A13"/>
    <w:rsid w:val="001E35C6"/>
    <w:rsid w:val="001E381A"/>
    <w:rsid w:val="001E4B10"/>
    <w:rsid w:val="001E5150"/>
    <w:rsid w:val="001E722E"/>
    <w:rsid w:val="001E7C9B"/>
    <w:rsid w:val="001E7C9D"/>
    <w:rsid w:val="001E7F53"/>
    <w:rsid w:val="001F0BE9"/>
    <w:rsid w:val="001F189A"/>
    <w:rsid w:val="001F1E44"/>
    <w:rsid w:val="001F2333"/>
    <w:rsid w:val="001F30B2"/>
    <w:rsid w:val="001F313D"/>
    <w:rsid w:val="001F3EA8"/>
    <w:rsid w:val="001F3F34"/>
    <w:rsid w:val="001F3FDD"/>
    <w:rsid w:val="001F4472"/>
    <w:rsid w:val="001F4E9B"/>
    <w:rsid w:val="001F51E4"/>
    <w:rsid w:val="001F5EBB"/>
    <w:rsid w:val="001F60CB"/>
    <w:rsid w:val="001F73C6"/>
    <w:rsid w:val="001F750D"/>
    <w:rsid w:val="001F7C5A"/>
    <w:rsid w:val="002005C5"/>
    <w:rsid w:val="0020092D"/>
    <w:rsid w:val="00201FEF"/>
    <w:rsid w:val="0020233C"/>
    <w:rsid w:val="002033C0"/>
    <w:rsid w:val="00205E5A"/>
    <w:rsid w:val="00206124"/>
    <w:rsid w:val="00206411"/>
    <w:rsid w:val="002067A2"/>
    <w:rsid w:val="002068E8"/>
    <w:rsid w:val="00206FB6"/>
    <w:rsid w:val="00207B2A"/>
    <w:rsid w:val="00211DE1"/>
    <w:rsid w:val="00212ACE"/>
    <w:rsid w:val="00212C24"/>
    <w:rsid w:val="00213248"/>
    <w:rsid w:val="002132D4"/>
    <w:rsid w:val="00213547"/>
    <w:rsid w:val="00213E7F"/>
    <w:rsid w:val="0021573E"/>
    <w:rsid w:val="00215D0C"/>
    <w:rsid w:val="00216946"/>
    <w:rsid w:val="00217463"/>
    <w:rsid w:val="0022040D"/>
    <w:rsid w:val="002204AD"/>
    <w:rsid w:val="0022050F"/>
    <w:rsid w:val="00220565"/>
    <w:rsid w:val="00220C60"/>
    <w:rsid w:val="00221187"/>
    <w:rsid w:val="00221D5B"/>
    <w:rsid w:val="0022286E"/>
    <w:rsid w:val="00222A17"/>
    <w:rsid w:val="00222F8B"/>
    <w:rsid w:val="00223C1D"/>
    <w:rsid w:val="00224F06"/>
    <w:rsid w:val="00224FB9"/>
    <w:rsid w:val="0022587F"/>
    <w:rsid w:val="00226B42"/>
    <w:rsid w:val="00226B7B"/>
    <w:rsid w:val="00227097"/>
    <w:rsid w:val="00230236"/>
    <w:rsid w:val="00230787"/>
    <w:rsid w:val="00230909"/>
    <w:rsid w:val="002328C7"/>
    <w:rsid w:val="00232F63"/>
    <w:rsid w:val="00233480"/>
    <w:rsid w:val="00233872"/>
    <w:rsid w:val="002339EA"/>
    <w:rsid w:val="002347A8"/>
    <w:rsid w:val="002349E6"/>
    <w:rsid w:val="00235B29"/>
    <w:rsid w:val="00236A00"/>
    <w:rsid w:val="00237E6E"/>
    <w:rsid w:val="00240EFC"/>
    <w:rsid w:val="00241468"/>
    <w:rsid w:val="00241CAF"/>
    <w:rsid w:val="0024247D"/>
    <w:rsid w:val="00242A41"/>
    <w:rsid w:val="002444A7"/>
    <w:rsid w:val="00246B0C"/>
    <w:rsid w:val="002471BE"/>
    <w:rsid w:val="002478AB"/>
    <w:rsid w:val="00247C16"/>
    <w:rsid w:val="002506E8"/>
    <w:rsid w:val="00250D20"/>
    <w:rsid w:val="00251235"/>
    <w:rsid w:val="00251414"/>
    <w:rsid w:val="0025260D"/>
    <w:rsid w:val="00252662"/>
    <w:rsid w:val="00252E32"/>
    <w:rsid w:val="002533B5"/>
    <w:rsid w:val="00254DCB"/>
    <w:rsid w:val="002562D2"/>
    <w:rsid w:val="00257035"/>
    <w:rsid w:val="00257369"/>
    <w:rsid w:val="00257473"/>
    <w:rsid w:val="0026000D"/>
    <w:rsid w:val="002602CC"/>
    <w:rsid w:val="00260497"/>
    <w:rsid w:val="002604EE"/>
    <w:rsid w:val="00260F2B"/>
    <w:rsid w:val="002626FB"/>
    <w:rsid w:val="00262E8C"/>
    <w:rsid w:val="00263194"/>
    <w:rsid w:val="00263924"/>
    <w:rsid w:val="00263ED6"/>
    <w:rsid w:val="0026652A"/>
    <w:rsid w:val="00267382"/>
    <w:rsid w:val="00267733"/>
    <w:rsid w:val="00267DD9"/>
    <w:rsid w:val="00271327"/>
    <w:rsid w:val="002716B4"/>
    <w:rsid w:val="00272061"/>
    <w:rsid w:val="002737C1"/>
    <w:rsid w:val="00280A0D"/>
    <w:rsid w:val="00280F8E"/>
    <w:rsid w:val="0028161E"/>
    <w:rsid w:val="00281CA1"/>
    <w:rsid w:val="00282054"/>
    <w:rsid w:val="00282126"/>
    <w:rsid w:val="0028246C"/>
    <w:rsid w:val="002834FE"/>
    <w:rsid w:val="002836A2"/>
    <w:rsid w:val="00284243"/>
    <w:rsid w:val="00284376"/>
    <w:rsid w:val="00284E0A"/>
    <w:rsid w:val="00285606"/>
    <w:rsid w:val="002856F4"/>
    <w:rsid w:val="00286092"/>
    <w:rsid w:val="00286C82"/>
    <w:rsid w:val="00287EF6"/>
    <w:rsid w:val="0029212F"/>
    <w:rsid w:val="00292316"/>
    <w:rsid w:val="00292FEB"/>
    <w:rsid w:val="00293C42"/>
    <w:rsid w:val="002947E1"/>
    <w:rsid w:val="00294886"/>
    <w:rsid w:val="0029664D"/>
    <w:rsid w:val="002A0280"/>
    <w:rsid w:val="002A0383"/>
    <w:rsid w:val="002A0823"/>
    <w:rsid w:val="002A12FF"/>
    <w:rsid w:val="002A1845"/>
    <w:rsid w:val="002A33BA"/>
    <w:rsid w:val="002A4ED8"/>
    <w:rsid w:val="002A4F23"/>
    <w:rsid w:val="002A63D9"/>
    <w:rsid w:val="002A69AD"/>
    <w:rsid w:val="002A6C43"/>
    <w:rsid w:val="002A7A01"/>
    <w:rsid w:val="002B06C2"/>
    <w:rsid w:val="002B2617"/>
    <w:rsid w:val="002B3234"/>
    <w:rsid w:val="002B332A"/>
    <w:rsid w:val="002B39E4"/>
    <w:rsid w:val="002B4788"/>
    <w:rsid w:val="002B59EE"/>
    <w:rsid w:val="002B5DCE"/>
    <w:rsid w:val="002B659C"/>
    <w:rsid w:val="002B7272"/>
    <w:rsid w:val="002B72B9"/>
    <w:rsid w:val="002B7DB9"/>
    <w:rsid w:val="002C187F"/>
    <w:rsid w:val="002C1AB8"/>
    <w:rsid w:val="002C2B65"/>
    <w:rsid w:val="002C3317"/>
    <w:rsid w:val="002C3B18"/>
    <w:rsid w:val="002C3B1D"/>
    <w:rsid w:val="002C3BBB"/>
    <w:rsid w:val="002C3E02"/>
    <w:rsid w:val="002C49B1"/>
    <w:rsid w:val="002C49BA"/>
    <w:rsid w:val="002C644A"/>
    <w:rsid w:val="002C6BBC"/>
    <w:rsid w:val="002C7E32"/>
    <w:rsid w:val="002D21A5"/>
    <w:rsid w:val="002D2C82"/>
    <w:rsid w:val="002D313E"/>
    <w:rsid w:val="002D31A0"/>
    <w:rsid w:val="002D3211"/>
    <w:rsid w:val="002D342D"/>
    <w:rsid w:val="002D401C"/>
    <w:rsid w:val="002D494D"/>
    <w:rsid w:val="002D5250"/>
    <w:rsid w:val="002D5308"/>
    <w:rsid w:val="002D61EA"/>
    <w:rsid w:val="002D67F7"/>
    <w:rsid w:val="002D74B1"/>
    <w:rsid w:val="002D7A6C"/>
    <w:rsid w:val="002E1AD6"/>
    <w:rsid w:val="002E24B6"/>
    <w:rsid w:val="002E26D2"/>
    <w:rsid w:val="002E3EEB"/>
    <w:rsid w:val="002E4D00"/>
    <w:rsid w:val="002E4F2E"/>
    <w:rsid w:val="002E605F"/>
    <w:rsid w:val="002E7933"/>
    <w:rsid w:val="002F1039"/>
    <w:rsid w:val="002F139F"/>
    <w:rsid w:val="002F17DD"/>
    <w:rsid w:val="002F1DB4"/>
    <w:rsid w:val="002F2335"/>
    <w:rsid w:val="002F2A21"/>
    <w:rsid w:val="002F3A23"/>
    <w:rsid w:val="002F4E12"/>
    <w:rsid w:val="002F6022"/>
    <w:rsid w:val="002F7489"/>
    <w:rsid w:val="0030037F"/>
    <w:rsid w:val="00300E86"/>
    <w:rsid w:val="003011D0"/>
    <w:rsid w:val="00301689"/>
    <w:rsid w:val="0030320A"/>
    <w:rsid w:val="00303F66"/>
    <w:rsid w:val="00304716"/>
    <w:rsid w:val="00304DF9"/>
    <w:rsid w:val="00304F6A"/>
    <w:rsid w:val="0030530A"/>
    <w:rsid w:val="00305515"/>
    <w:rsid w:val="00306048"/>
    <w:rsid w:val="003066BE"/>
    <w:rsid w:val="003076EC"/>
    <w:rsid w:val="00310501"/>
    <w:rsid w:val="00310A4A"/>
    <w:rsid w:val="00310ABC"/>
    <w:rsid w:val="003113F1"/>
    <w:rsid w:val="00311C1F"/>
    <w:rsid w:val="00312A3A"/>
    <w:rsid w:val="00313027"/>
    <w:rsid w:val="00313C95"/>
    <w:rsid w:val="003142A9"/>
    <w:rsid w:val="00315FF7"/>
    <w:rsid w:val="00316626"/>
    <w:rsid w:val="00316732"/>
    <w:rsid w:val="00316CBF"/>
    <w:rsid w:val="00316D91"/>
    <w:rsid w:val="00316F44"/>
    <w:rsid w:val="003170CF"/>
    <w:rsid w:val="0031724C"/>
    <w:rsid w:val="003177A6"/>
    <w:rsid w:val="003202EC"/>
    <w:rsid w:val="00321DEA"/>
    <w:rsid w:val="0032234F"/>
    <w:rsid w:val="0032236E"/>
    <w:rsid w:val="00322960"/>
    <w:rsid w:val="00322C5A"/>
    <w:rsid w:val="0032324A"/>
    <w:rsid w:val="0032473C"/>
    <w:rsid w:val="00326E05"/>
    <w:rsid w:val="0032723A"/>
    <w:rsid w:val="00327655"/>
    <w:rsid w:val="00327BE3"/>
    <w:rsid w:val="00327EE4"/>
    <w:rsid w:val="0033379B"/>
    <w:rsid w:val="00333D38"/>
    <w:rsid w:val="00333F58"/>
    <w:rsid w:val="00334031"/>
    <w:rsid w:val="00334F18"/>
    <w:rsid w:val="00334FF5"/>
    <w:rsid w:val="00335018"/>
    <w:rsid w:val="00335BC7"/>
    <w:rsid w:val="00336726"/>
    <w:rsid w:val="003405FA"/>
    <w:rsid w:val="00341892"/>
    <w:rsid w:val="00341D48"/>
    <w:rsid w:val="0034237C"/>
    <w:rsid w:val="00342DFE"/>
    <w:rsid w:val="003430AB"/>
    <w:rsid w:val="00343B94"/>
    <w:rsid w:val="003442F3"/>
    <w:rsid w:val="00346079"/>
    <w:rsid w:val="00346314"/>
    <w:rsid w:val="00346598"/>
    <w:rsid w:val="00346AAE"/>
    <w:rsid w:val="00346B60"/>
    <w:rsid w:val="00347A51"/>
    <w:rsid w:val="00347B6C"/>
    <w:rsid w:val="0035078B"/>
    <w:rsid w:val="003510CC"/>
    <w:rsid w:val="00355F51"/>
    <w:rsid w:val="0035620C"/>
    <w:rsid w:val="003566DA"/>
    <w:rsid w:val="0035678F"/>
    <w:rsid w:val="00356E89"/>
    <w:rsid w:val="003600BC"/>
    <w:rsid w:val="00360717"/>
    <w:rsid w:val="00360B3B"/>
    <w:rsid w:val="00361B87"/>
    <w:rsid w:val="003624D5"/>
    <w:rsid w:val="00362AD0"/>
    <w:rsid w:val="00363D0C"/>
    <w:rsid w:val="00365C83"/>
    <w:rsid w:val="00366217"/>
    <w:rsid w:val="00366438"/>
    <w:rsid w:val="00366B0F"/>
    <w:rsid w:val="00367252"/>
    <w:rsid w:val="003702C8"/>
    <w:rsid w:val="00370654"/>
    <w:rsid w:val="00370CAF"/>
    <w:rsid w:val="00371DB8"/>
    <w:rsid w:val="0037268D"/>
    <w:rsid w:val="00372ADB"/>
    <w:rsid w:val="00373308"/>
    <w:rsid w:val="00374290"/>
    <w:rsid w:val="00375C21"/>
    <w:rsid w:val="00375CD6"/>
    <w:rsid w:val="003764F8"/>
    <w:rsid w:val="003769B2"/>
    <w:rsid w:val="00376AB9"/>
    <w:rsid w:val="00376E75"/>
    <w:rsid w:val="00377A95"/>
    <w:rsid w:val="00382528"/>
    <w:rsid w:val="0038325D"/>
    <w:rsid w:val="00383A99"/>
    <w:rsid w:val="00384599"/>
    <w:rsid w:val="00385A35"/>
    <w:rsid w:val="00385D7F"/>
    <w:rsid w:val="00385FBC"/>
    <w:rsid w:val="00386AEF"/>
    <w:rsid w:val="0038750A"/>
    <w:rsid w:val="00387873"/>
    <w:rsid w:val="0039043F"/>
    <w:rsid w:val="00390C0D"/>
    <w:rsid w:val="003923E2"/>
    <w:rsid w:val="00393712"/>
    <w:rsid w:val="00393AB0"/>
    <w:rsid w:val="0039408C"/>
    <w:rsid w:val="0039458F"/>
    <w:rsid w:val="003A075D"/>
    <w:rsid w:val="003A14F0"/>
    <w:rsid w:val="003A2BA7"/>
    <w:rsid w:val="003A2DCC"/>
    <w:rsid w:val="003A3AB8"/>
    <w:rsid w:val="003A3DD6"/>
    <w:rsid w:val="003A4F79"/>
    <w:rsid w:val="003A5175"/>
    <w:rsid w:val="003A57C5"/>
    <w:rsid w:val="003A63B8"/>
    <w:rsid w:val="003A7397"/>
    <w:rsid w:val="003A747B"/>
    <w:rsid w:val="003A77B9"/>
    <w:rsid w:val="003B0240"/>
    <w:rsid w:val="003B0E57"/>
    <w:rsid w:val="003B0FB8"/>
    <w:rsid w:val="003B19B0"/>
    <w:rsid w:val="003B1A88"/>
    <w:rsid w:val="003B2201"/>
    <w:rsid w:val="003B2C26"/>
    <w:rsid w:val="003B360C"/>
    <w:rsid w:val="003B3969"/>
    <w:rsid w:val="003B3FE1"/>
    <w:rsid w:val="003B49B2"/>
    <w:rsid w:val="003B50D9"/>
    <w:rsid w:val="003B532B"/>
    <w:rsid w:val="003B5A74"/>
    <w:rsid w:val="003C02A7"/>
    <w:rsid w:val="003C0B1F"/>
    <w:rsid w:val="003C0B5A"/>
    <w:rsid w:val="003C1BB3"/>
    <w:rsid w:val="003C1C4A"/>
    <w:rsid w:val="003C1F6E"/>
    <w:rsid w:val="003C3CBB"/>
    <w:rsid w:val="003C476A"/>
    <w:rsid w:val="003C47B5"/>
    <w:rsid w:val="003C6B32"/>
    <w:rsid w:val="003C7235"/>
    <w:rsid w:val="003C72D2"/>
    <w:rsid w:val="003D01ED"/>
    <w:rsid w:val="003D04B1"/>
    <w:rsid w:val="003D060D"/>
    <w:rsid w:val="003D0BF8"/>
    <w:rsid w:val="003D12A7"/>
    <w:rsid w:val="003D1672"/>
    <w:rsid w:val="003D1A70"/>
    <w:rsid w:val="003D29B4"/>
    <w:rsid w:val="003D2C76"/>
    <w:rsid w:val="003D3563"/>
    <w:rsid w:val="003D4031"/>
    <w:rsid w:val="003D43CC"/>
    <w:rsid w:val="003D6CCD"/>
    <w:rsid w:val="003D6FF1"/>
    <w:rsid w:val="003D71A7"/>
    <w:rsid w:val="003D7AA0"/>
    <w:rsid w:val="003E070D"/>
    <w:rsid w:val="003E26B6"/>
    <w:rsid w:val="003E2792"/>
    <w:rsid w:val="003E2F0A"/>
    <w:rsid w:val="003E2F81"/>
    <w:rsid w:val="003E321A"/>
    <w:rsid w:val="003E34D7"/>
    <w:rsid w:val="003E3E02"/>
    <w:rsid w:val="003E43F2"/>
    <w:rsid w:val="003E4C3C"/>
    <w:rsid w:val="003E4F44"/>
    <w:rsid w:val="003E54C3"/>
    <w:rsid w:val="003E6B5A"/>
    <w:rsid w:val="003E75C6"/>
    <w:rsid w:val="003E7D09"/>
    <w:rsid w:val="003F29DB"/>
    <w:rsid w:val="003F2CE0"/>
    <w:rsid w:val="003F3421"/>
    <w:rsid w:val="003F450D"/>
    <w:rsid w:val="003F4EC4"/>
    <w:rsid w:val="003F6F0E"/>
    <w:rsid w:val="003F76EB"/>
    <w:rsid w:val="004005A3"/>
    <w:rsid w:val="00400F31"/>
    <w:rsid w:val="00401576"/>
    <w:rsid w:val="00401ECB"/>
    <w:rsid w:val="004029BA"/>
    <w:rsid w:val="00402CD0"/>
    <w:rsid w:val="00403843"/>
    <w:rsid w:val="00405E9D"/>
    <w:rsid w:val="00407B2E"/>
    <w:rsid w:val="00407EE6"/>
    <w:rsid w:val="004101D6"/>
    <w:rsid w:val="00410217"/>
    <w:rsid w:val="00410AB7"/>
    <w:rsid w:val="00412ACD"/>
    <w:rsid w:val="00412E62"/>
    <w:rsid w:val="004132F8"/>
    <w:rsid w:val="004147C7"/>
    <w:rsid w:val="00414B0D"/>
    <w:rsid w:val="00414B31"/>
    <w:rsid w:val="00416141"/>
    <w:rsid w:val="004168AE"/>
    <w:rsid w:val="00416928"/>
    <w:rsid w:val="00416E8B"/>
    <w:rsid w:val="004204A5"/>
    <w:rsid w:val="004208D2"/>
    <w:rsid w:val="00421163"/>
    <w:rsid w:val="0042160E"/>
    <w:rsid w:val="00421C2A"/>
    <w:rsid w:val="00421C6C"/>
    <w:rsid w:val="004239FB"/>
    <w:rsid w:val="00423B82"/>
    <w:rsid w:val="00423DDA"/>
    <w:rsid w:val="0042445C"/>
    <w:rsid w:val="0042548B"/>
    <w:rsid w:val="004255A6"/>
    <w:rsid w:val="00425BEE"/>
    <w:rsid w:val="00425DDF"/>
    <w:rsid w:val="004262C2"/>
    <w:rsid w:val="00426437"/>
    <w:rsid w:val="0043205C"/>
    <w:rsid w:val="004327AC"/>
    <w:rsid w:val="00432B37"/>
    <w:rsid w:val="00433BAA"/>
    <w:rsid w:val="004377AC"/>
    <w:rsid w:val="00437F9F"/>
    <w:rsid w:val="00441FBF"/>
    <w:rsid w:val="00442090"/>
    <w:rsid w:val="00442E88"/>
    <w:rsid w:val="00443127"/>
    <w:rsid w:val="00444658"/>
    <w:rsid w:val="004451CC"/>
    <w:rsid w:val="0044634D"/>
    <w:rsid w:val="00446CB0"/>
    <w:rsid w:val="004472E4"/>
    <w:rsid w:val="00447901"/>
    <w:rsid w:val="0045012C"/>
    <w:rsid w:val="0045088F"/>
    <w:rsid w:val="00451D45"/>
    <w:rsid w:val="00452797"/>
    <w:rsid w:val="00453507"/>
    <w:rsid w:val="00453810"/>
    <w:rsid w:val="004549CC"/>
    <w:rsid w:val="00454BA4"/>
    <w:rsid w:val="00455289"/>
    <w:rsid w:val="00455362"/>
    <w:rsid w:val="004560F7"/>
    <w:rsid w:val="004564F1"/>
    <w:rsid w:val="004565E7"/>
    <w:rsid w:val="004566D6"/>
    <w:rsid w:val="00456816"/>
    <w:rsid w:val="00456B1F"/>
    <w:rsid w:val="00456DAF"/>
    <w:rsid w:val="00457891"/>
    <w:rsid w:val="00461173"/>
    <w:rsid w:val="0046122A"/>
    <w:rsid w:val="00461958"/>
    <w:rsid w:val="00461C93"/>
    <w:rsid w:val="00461CAB"/>
    <w:rsid w:val="004620DD"/>
    <w:rsid w:val="004637C9"/>
    <w:rsid w:val="00463985"/>
    <w:rsid w:val="00464655"/>
    <w:rsid w:val="00465F7A"/>
    <w:rsid w:val="004660BE"/>
    <w:rsid w:val="0046611C"/>
    <w:rsid w:val="00467637"/>
    <w:rsid w:val="0047042D"/>
    <w:rsid w:val="004704DA"/>
    <w:rsid w:val="00470C79"/>
    <w:rsid w:val="00470FFE"/>
    <w:rsid w:val="00472FA1"/>
    <w:rsid w:val="00473641"/>
    <w:rsid w:val="00473A5A"/>
    <w:rsid w:val="00474C23"/>
    <w:rsid w:val="00475825"/>
    <w:rsid w:val="004771BE"/>
    <w:rsid w:val="004818BE"/>
    <w:rsid w:val="00482415"/>
    <w:rsid w:val="00482865"/>
    <w:rsid w:val="0048313F"/>
    <w:rsid w:val="00483522"/>
    <w:rsid w:val="0048394B"/>
    <w:rsid w:val="00484040"/>
    <w:rsid w:val="00484C40"/>
    <w:rsid w:val="0048577F"/>
    <w:rsid w:val="004858A1"/>
    <w:rsid w:val="00486F58"/>
    <w:rsid w:val="004871BD"/>
    <w:rsid w:val="00487683"/>
    <w:rsid w:val="00487A36"/>
    <w:rsid w:val="00487BF4"/>
    <w:rsid w:val="00487DE0"/>
    <w:rsid w:val="00487E3C"/>
    <w:rsid w:val="00490539"/>
    <w:rsid w:val="00490701"/>
    <w:rsid w:val="004913DF"/>
    <w:rsid w:val="00491666"/>
    <w:rsid w:val="00491E08"/>
    <w:rsid w:val="004925A7"/>
    <w:rsid w:val="00492AC0"/>
    <w:rsid w:val="00492C21"/>
    <w:rsid w:val="00492D75"/>
    <w:rsid w:val="0049527B"/>
    <w:rsid w:val="00496128"/>
    <w:rsid w:val="004964F7"/>
    <w:rsid w:val="0049685D"/>
    <w:rsid w:val="00496F76"/>
    <w:rsid w:val="004973CC"/>
    <w:rsid w:val="004974B9"/>
    <w:rsid w:val="00497DF6"/>
    <w:rsid w:val="004A0213"/>
    <w:rsid w:val="004A0448"/>
    <w:rsid w:val="004A12E6"/>
    <w:rsid w:val="004A18F9"/>
    <w:rsid w:val="004A2E8F"/>
    <w:rsid w:val="004A31F6"/>
    <w:rsid w:val="004A33A3"/>
    <w:rsid w:val="004A343A"/>
    <w:rsid w:val="004A3CA5"/>
    <w:rsid w:val="004A4464"/>
    <w:rsid w:val="004A4C36"/>
    <w:rsid w:val="004A5411"/>
    <w:rsid w:val="004A6972"/>
    <w:rsid w:val="004A72D5"/>
    <w:rsid w:val="004B0027"/>
    <w:rsid w:val="004B0A3B"/>
    <w:rsid w:val="004B0C91"/>
    <w:rsid w:val="004B1161"/>
    <w:rsid w:val="004B173E"/>
    <w:rsid w:val="004B22D2"/>
    <w:rsid w:val="004B28CE"/>
    <w:rsid w:val="004B318C"/>
    <w:rsid w:val="004B3C71"/>
    <w:rsid w:val="004B3D9D"/>
    <w:rsid w:val="004B48F5"/>
    <w:rsid w:val="004B618C"/>
    <w:rsid w:val="004B61D2"/>
    <w:rsid w:val="004B6DCB"/>
    <w:rsid w:val="004B6DFF"/>
    <w:rsid w:val="004B7105"/>
    <w:rsid w:val="004B79F9"/>
    <w:rsid w:val="004C0194"/>
    <w:rsid w:val="004C058B"/>
    <w:rsid w:val="004C0BA7"/>
    <w:rsid w:val="004C1341"/>
    <w:rsid w:val="004C15E4"/>
    <w:rsid w:val="004C2677"/>
    <w:rsid w:val="004C3CE8"/>
    <w:rsid w:val="004C5A1F"/>
    <w:rsid w:val="004C6B6F"/>
    <w:rsid w:val="004C6B9F"/>
    <w:rsid w:val="004C73BA"/>
    <w:rsid w:val="004D090B"/>
    <w:rsid w:val="004D163D"/>
    <w:rsid w:val="004D1649"/>
    <w:rsid w:val="004D22EB"/>
    <w:rsid w:val="004D28FD"/>
    <w:rsid w:val="004D4038"/>
    <w:rsid w:val="004D522F"/>
    <w:rsid w:val="004D5339"/>
    <w:rsid w:val="004D6A8E"/>
    <w:rsid w:val="004D6B0B"/>
    <w:rsid w:val="004D6C73"/>
    <w:rsid w:val="004E13C0"/>
    <w:rsid w:val="004E22F2"/>
    <w:rsid w:val="004E284B"/>
    <w:rsid w:val="004E3256"/>
    <w:rsid w:val="004E347C"/>
    <w:rsid w:val="004E37C3"/>
    <w:rsid w:val="004E400D"/>
    <w:rsid w:val="004E4505"/>
    <w:rsid w:val="004E55B6"/>
    <w:rsid w:val="004E5946"/>
    <w:rsid w:val="004E5B22"/>
    <w:rsid w:val="004E6146"/>
    <w:rsid w:val="004E6368"/>
    <w:rsid w:val="004E660B"/>
    <w:rsid w:val="004E6729"/>
    <w:rsid w:val="004E6846"/>
    <w:rsid w:val="004E7E77"/>
    <w:rsid w:val="004F05D6"/>
    <w:rsid w:val="004F0E68"/>
    <w:rsid w:val="004F26EE"/>
    <w:rsid w:val="004F2D05"/>
    <w:rsid w:val="004F30FB"/>
    <w:rsid w:val="004F3898"/>
    <w:rsid w:val="004F3936"/>
    <w:rsid w:val="004F3DAF"/>
    <w:rsid w:val="004F58FF"/>
    <w:rsid w:val="004F5E14"/>
    <w:rsid w:val="004F6296"/>
    <w:rsid w:val="004F649C"/>
    <w:rsid w:val="005008A8"/>
    <w:rsid w:val="005037D1"/>
    <w:rsid w:val="00503A36"/>
    <w:rsid w:val="00503F21"/>
    <w:rsid w:val="00504E0E"/>
    <w:rsid w:val="005054FC"/>
    <w:rsid w:val="00505D89"/>
    <w:rsid w:val="005069D5"/>
    <w:rsid w:val="00506B04"/>
    <w:rsid w:val="005073AE"/>
    <w:rsid w:val="00507640"/>
    <w:rsid w:val="005100FC"/>
    <w:rsid w:val="0051013F"/>
    <w:rsid w:val="005119AA"/>
    <w:rsid w:val="00511D9A"/>
    <w:rsid w:val="0051368B"/>
    <w:rsid w:val="005143D2"/>
    <w:rsid w:val="00515042"/>
    <w:rsid w:val="00515192"/>
    <w:rsid w:val="0051565D"/>
    <w:rsid w:val="0051596D"/>
    <w:rsid w:val="005159F1"/>
    <w:rsid w:val="00516260"/>
    <w:rsid w:val="005173B1"/>
    <w:rsid w:val="005179BE"/>
    <w:rsid w:val="00517C1C"/>
    <w:rsid w:val="00517C68"/>
    <w:rsid w:val="00517D35"/>
    <w:rsid w:val="0052260E"/>
    <w:rsid w:val="005229DE"/>
    <w:rsid w:val="00522DE3"/>
    <w:rsid w:val="00522E53"/>
    <w:rsid w:val="005232F7"/>
    <w:rsid w:val="00523317"/>
    <w:rsid w:val="0052394D"/>
    <w:rsid w:val="00524614"/>
    <w:rsid w:val="00524917"/>
    <w:rsid w:val="00524AA3"/>
    <w:rsid w:val="00525BEA"/>
    <w:rsid w:val="00526090"/>
    <w:rsid w:val="0052666C"/>
    <w:rsid w:val="00530BFF"/>
    <w:rsid w:val="005317DE"/>
    <w:rsid w:val="00532A95"/>
    <w:rsid w:val="00533462"/>
    <w:rsid w:val="005335A2"/>
    <w:rsid w:val="00533A8E"/>
    <w:rsid w:val="00533C4E"/>
    <w:rsid w:val="00534A79"/>
    <w:rsid w:val="005352EF"/>
    <w:rsid w:val="00535547"/>
    <w:rsid w:val="00535944"/>
    <w:rsid w:val="00536862"/>
    <w:rsid w:val="005375C3"/>
    <w:rsid w:val="00537B6E"/>
    <w:rsid w:val="0054240C"/>
    <w:rsid w:val="00542897"/>
    <w:rsid w:val="00542938"/>
    <w:rsid w:val="00542A09"/>
    <w:rsid w:val="00542BDD"/>
    <w:rsid w:val="00542E53"/>
    <w:rsid w:val="00543258"/>
    <w:rsid w:val="005432BF"/>
    <w:rsid w:val="00543D80"/>
    <w:rsid w:val="00543F56"/>
    <w:rsid w:val="005442A3"/>
    <w:rsid w:val="0054495F"/>
    <w:rsid w:val="00544C47"/>
    <w:rsid w:val="0054582D"/>
    <w:rsid w:val="00545BC6"/>
    <w:rsid w:val="00545C62"/>
    <w:rsid w:val="00545FE0"/>
    <w:rsid w:val="00546238"/>
    <w:rsid w:val="00546E74"/>
    <w:rsid w:val="00547174"/>
    <w:rsid w:val="00547738"/>
    <w:rsid w:val="00547782"/>
    <w:rsid w:val="0055085A"/>
    <w:rsid w:val="005512C6"/>
    <w:rsid w:val="00551372"/>
    <w:rsid w:val="00551659"/>
    <w:rsid w:val="0055202D"/>
    <w:rsid w:val="00554ABD"/>
    <w:rsid w:val="00555189"/>
    <w:rsid w:val="005558E7"/>
    <w:rsid w:val="005607C2"/>
    <w:rsid w:val="00563485"/>
    <w:rsid w:val="005652C2"/>
    <w:rsid w:val="00566603"/>
    <w:rsid w:val="00567377"/>
    <w:rsid w:val="00570B4F"/>
    <w:rsid w:val="00570F1D"/>
    <w:rsid w:val="005710D8"/>
    <w:rsid w:val="0057159D"/>
    <w:rsid w:val="005715BF"/>
    <w:rsid w:val="00571A29"/>
    <w:rsid w:val="00571C53"/>
    <w:rsid w:val="0057205C"/>
    <w:rsid w:val="005722B4"/>
    <w:rsid w:val="005724D3"/>
    <w:rsid w:val="005741F4"/>
    <w:rsid w:val="00575E2C"/>
    <w:rsid w:val="0057748D"/>
    <w:rsid w:val="00577553"/>
    <w:rsid w:val="0057765E"/>
    <w:rsid w:val="00577966"/>
    <w:rsid w:val="005779A5"/>
    <w:rsid w:val="00580DB1"/>
    <w:rsid w:val="00581464"/>
    <w:rsid w:val="00581B33"/>
    <w:rsid w:val="005826EE"/>
    <w:rsid w:val="00584892"/>
    <w:rsid w:val="005862FE"/>
    <w:rsid w:val="00586355"/>
    <w:rsid w:val="00586D07"/>
    <w:rsid w:val="00587DEC"/>
    <w:rsid w:val="00587E9B"/>
    <w:rsid w:val="00590E51"/>
    <w:rsid w:val="00590EDA"/>
    <w:rsid w:val="00591347"/>
    <w:rsid w:val="005914B5"/>
    <w:rsid w:val="00591585"/>
    <w:rsid w:val="00591DB7"/>
    <w:rsid w:val="005929F7"/>
    <w:rsid w:val="00592DDD"/>
    <w:rsid w:val="00594FE9"/>
    <w:rsid w:val="0059515B"/>
    <w:rsid w:val="00595C57"/>
    <w:rsid w:val="00596BED"/>
    <w:rsid w:val="00597652"/>
    <w:rsid w:val="005A028E"/>
    <w:rsid w:val="005A0850"/>
    <w:rsid w:val="005A1801"/>
    <w:rsid w:val="005A1E94"/>
    <w:rsid w:val="005A250F"/>
    <w:rsid w:val="005A3352"/>
    <w:rsid w:val="005A3940"/>
    <w:rsid w:val="005A3F49"/>
    <w:rsid w:val="005A472A"/>
    <w:rsid w:val="005A4986"/>
    <w:rsid w:val="005A5B13"/>
    <w:rsid w:val="005A696B"/>
    <w:rsid w:val="005A7401"/>
    <w:rsid w:val="005A7D91"/>
    <w:rsid w:val="005A7DB0"/>
    <w:rsid w:val="005A7F19"/>
    <w:rsid w:val="005B0331"/>
    <w:rsid w:val="005B066A"/>
    <w:rsid w:val="005B0A14"/>
    <w:rsid w:val="005B1386"/>
    <w:rsid w:val="005B19CA"/>
    <w:rsid w:val="005B1FC8"/>
    <w:rsid w:val="005B2A73"/>
    <w:rsid w:val="005B39B9"/>
    <w:rsid w:val="005B4B72"/>
    <w:rsid w:val="005B594F"/>
    <w:rsid w:val="005B601B"/>
    <w:rsid w:val="005B6C40"/>
    <w:rsid w:val="005B6DB2"/>
    <w:rsid w:val="005C008A"/>
    <w:rsid w:val="005C019A"/>
    <w:rsid w:val="005C2239"/>
    <w:rsid w:val="005C29B4"/>
    <w:rsid w:val="005C30F6"/>
    <w:rsid w:val="005C3132"/>
    <w:rsid w:val="005C4094"/>
    <w:rsid w:val="005C52F1"/>
    <w:rsid w:val="005C5CA9"/>
    <w:rsid w:val="005C6478"/>
    <w:rsid w:val="005C69A2"/>
    <w:rsid w:val="005C70D9"/>
    <w:rsid w:val="005D017C"/>
    <w:rsid w:val="005D0A1F"/>
    <w:rsid w:val="005D1225"/>
    <w:rsid w:val="005D2394"/>
    <w:rsid w:val="005D2C5B"/>
    <w:rsid w:val="005D2E25"/>
    <w:rsid w:val="005D362A"/>
    <w:rsid w:val="005D3E5A"/>
    <w:rsid w:val="005D4237"/>
    <w:rsid w:val="005D46DA"/>
    <w:rsid w:val="005D5209"/>
    <w:rsid w:val="005D5700"/>
    <w:rsid w:val="005D5C04"/>
    <w:rsid w:val="005D7064"/>
    <w:rsid w:val="005D73D6"/>
    <w:rsid w:val="005E0DA7"/>
    <w:rsid w:val="005E1315"/>
    <w:rsid w:val="005E16A2"/>
    <w:rsid w:val="005E2E1C"/>
    <w:rsid w:val="005E30A8"/>
    <w:rsid w:val="005E52C0"/>
    <w:rsid w:val="005E66F8"/>
    <w:rsid w:val="005E6A34"/>
    <w:rsid w:val="005F005F"/>
    <w:rsid w:val="005F2CD0"/>
    <w:rsid w:val="005F3009"/>
    <w:rsid w:val="005F4A22"/>
    <w:rsid w:val="005F5093"/>
    <w:rsid w:val="005F571E"/>
    <w:rsid w:val="005F5918"/>
    <w:rsid w:val="005F60F5"/>
    <w:rsid w:val="005F75A6"/>
    <w:rsid w:val="006003E3"/>
    <w:rsid w:val="00600B27"/>
    <w:rsid w:val="006019E1"/>
    <w:rsid w:val="00601FD9"/>
    <w:rsid w:val="00602D87"/>
    <w:rsid w:val="00603A67"/>
    <w:rsid w:val="00603A74"/>
    <w:rsid w:val="00605247"/>
    <w:rsid w:val="00605C0A"/>
    <w:rsid w:val="006061DF"/>
    <w:rsid w:val="00607317"/>
    <w:rsid w:val="006077FF"/>
    <w:rsid w:val="0061006F"/>
    <w:rsid w:val="006111BC"/>
    <w:rsid w:val="0061168C"/>
    <w:rsid w:val="0061246C"/>
    <w:rsid w:val="00615D44"/>
    <w:rsid w:val="00615F2B"/>
    <w:rsid w:val="00616145"/>
    <w:rsid w:val="0061725F"/>
    <w:rsid w:val="00617292"/>
    <w:rsid w:val="006175CD"/>
    <w:rsid w:val="00617A9F"/>
    <w:rsid w:val="00617D05"/>
    <w:rsid w:val="00617D86"/>
    <w:rsid w:val="00617FC3"/>
    <w:rsid w:val="006201B0"/>
    <w:rsid w:val="006204A2"/>
    <w:rsid w:val="00620F8E"/>
    <w:rsid w:val="00621360"/>
    <w:rsid w:val="006213F6"/>
    <w:rsid w:val="00621CBE"/>
    <w:rsid w:val="00621D44"/>
    <w:rsid w:val="00621F44"/>
    <w:rsid w:val="0062325C"/>
    <w:rsid w:val="00625496"/>
    <w:rsid w:val="00626704"/>
    <w:rsid w:val="0062681B"/>
    <w:rsid w:val="006278D8"/>
    <w:rsid w:val="00631118"/>
    <w:rsid w:val="00631A8C"/>
    <w:rsid w:val="00631CB5"/>
    <w:rsid w:val="0063216F"/>
    <w:rsid w:val="006333AD"/>
    <w:rsid w:val="00633672"/>
    <w:rsid w:val="00634106"/>
    <w:rsid w:val="00634F1D"/>
    <w:rsid w:val="0063700E"/>
    <w:rsid w:val="006415C6"/>
    <w:rsid w:val="00641BED"/>
    <w:rsid w:val="00642305"/>
    <w:rsid w:val="006426C9"/>
    <w:rsid w:val="00643300"/>
    <w:rsid w:val="006445C1"/>
    <w:rsid w:val="0064495A"/>
    <w:rsid w:val="00644B25"/>
    <w:rsid w:val="00645352"/>
    <w:rsid w:val="006455FC"/>
    <w:rsid w:val="00645865"/>
    <w:rsid w:val="0064614F"/>
    <w:rsid w:val="006463DD"/>
    <w:rsid w:val="00646B62"/>
    <w:rsid w:val="00646D95"/>
    <w:rsid w:val="006472E0"/>
    <w:rsid w:val="0064756C"/>
    <w:rsid w:val="00650C80"/>
    <w:rsid w:val="00650D6E"/>
    <w:rsid w:val="0065102F"/>
    <w:rsid w:val="00651B23"/>
    <w:rsid w:val="00651F32"/>
    <w:rsid w:val="00651FF7"/>
    <w:rsid w:val="00654AA3"/>
    <w:rsid w:val="00655F35"/>
    <w:rsid w:val="006562CC"/>
    <w:rsid w:val="00656B09"/>
    <w:rsid w:val="00656B88"/>
    <w:rsid w:val="00656C34"/>
    <w:rsid w:val="0065729D"/>
    <w:rsid w:val="006575BF"/>
    <w:rsid w:val="00657C3D"/>
    <w:rsid w:val="00664B8B"/>
    <w:rsid w:val="00665864"/>
    <w:rsid w:val="00665A09"/>
    <w:rsid w:val="00665EE3"/>
    <w:rsid w:val="00666101"/>
    <w:rsid w:val="00666B46"/>
    <w:rsid w:val="00667416"/>
    <w:rsid w:val="00670882"/>
    <w:rsid w:val="0067122E"/>
    <w:rsid w:val="006717DB"/>
    <w:rsid w:val="00671B3C"/>
    <w:rsid w:val="00671C11"/>
    <w:rsid w:val="00671F2B"/>
    <w:rsid w:val="0067241A"/>
    <w:rsid w:val="006726B6"/>
    <w:rsid w:val="006732D0"/>
    <w:rsid w:val="00673BE3"/>
    <w:rsid w:val="006750E9"/>
    <w:rsid w:val="00675663"/>
    <w:rsid w:val="00675A26"/>
    <w:rsid w:val="00676859"/>
    <w:rsid w:val="0068058C"/>
    <w:rsid w:val="00680862"/>
    <w:rsid w:val="00681CA6"/>
    <w:rsid w:val="00683AC6"/>
    <w:rsid w:val="006840A6"/>
    <w:rsid w:val="006846B9"/>
    <w:rsid w:val="0068530A"/>
    <w:rsid w:val="0068546C"/>
    <w:rsid w:val="00686869"/>
    <w:rsid w:val="00686B9C"/>
    <w:rsid w:val="00686D4B"/>
    <w:rsid w:val="00686ED4"/>
    <w:rsid w:val="00691EFB"/>
    <w:rsid w:val="00693975"/>
    <w:rsid w:val="00693CE1"/>
    <w:rsid w:val="00694DD3"/>
    <w:rsid w:val="006951D6"/>
    <w:rsid w:val="00695277"/>
    <w:rsid w:val="0069580C"/>
    <w:rsid w:val="00695EE3"/>
    <w:rsid w:val="00696967"/>
    <w:rsid w:val="00696E24"/>
    <w:rsid w:val="006979D2"/>
    <w:rsid w:val="006A0DF4"/>
    <w:rsid w:val="006A1324"/>
    <w:rsid w:val="006A2155"/>
    <w:rsid w:val="006A39CB"/>
    <w:rsid w:val="006A3A21"/>
    <w:rsid w:val="006A3B94"/>
    <w:rsid w:val="006A549A"/>
    <w:rsid w:val="006A7330"/>
    <w:rsid w:val="006A7AC0"/>
    <w:rsid w:val="006B014A"/>
    <w:rsid w:val="006B1670"/>
    <w:rsid w:val="006B183E"/>
    <w:rsid w:val="006B213C"/>
    <w:rsid w:val="006B26E4"/>
    <w:rsid w:val="006B38C7"/>
    <w:rsid w:val="006B3A4A"/>
    <w:rsid w:val="006B4610"/>
    <w:rsid w:val="006B4635"/>
    <w:rsid w:val="006B5771"/>
    <w:rsid w:val="006B5D81"/>
    <w:rsid w:val="006B624F"/>
    <w:rsid w:val="006B655F"/>
    <w:rsid w:val="006B68C0"/>
    <w:rsid w:val="006B6BAD"/>
    <w:rsid w:val="006B7F19"/>
    <w:rsid w:val="006C0F73"/>
    <w:rsid w:val="006C11C5"/>
    <w:rsid w:val="006C17C7"/>
    <w:rsid w:val="006C20ED"/>
    <w:rsid w:val="006C2212"/>
    <w:rsid w:val="006C22F1"/>
    <w:rsid w:val="006C425B"/>
    <w:rsid w:val="006C618E"/>
    <w:rsid w:val="006C6753"/>
    <w:rsid w:val="006C7173"/>
    <w:rsid w:val="006C79E4"/>
    <w:rsid w:val="006D0DC3"/>
    <w:rsid w:val="006D1D34"/>
    <w:rsid w:val="006D27ED"/>
    <w:rsid w:val="006D3321"/>
    <w:rsid w:val="006D399C"/>
    <w:rsid w:val="006D51FD"/>
    <w:rsid w:val="006D5AD0"/>
    <w:rsid w:val="006D661A"/>
    <w:rsid w:val="006E040D"/>
    <w:rsid w:val="006E046D"/>
    <w:rsid w:val="006E1041"/>
    <w:rsid w:val="006E19F9"/>
    <w:rsid w:val="006E2D80"/>
    <w:rsid w:val="006E2FE9"/>
    <w:rsid w:val="006E38B6"/>
    <w:rsid w:val="006E42AD"/>
    <w:rsid w:val="006E4F1F"/>
    <w:rsid w:val="006E5149"/>
    <w:rsid w:val="006E5534"/>
    <w:rsid w:val="006E57F9"/>
    <w:rsid w:val="006E5D3B"/>
    <w:rsid w:val="006E60C1"/>
    <w:rsid w:val="006E60E3"/>
    <w:rsid w:val="006E6419"/>
    <w:rsid w:val="006E6826"/>
    <w:rsid w:val="006F012F"/>
    <w:rsid w:val="006F0985"/>
    <w:rsid w:val="006F1D3D"/>
    <w:rsid w:val="006F2A41"/>
    <w:rsid w:val="006F2DFE"/>
    <w:rsid w:val="006F404E"/>
    <w:rsid w:val="006F49D3"/>
    <w:rsid w:val="006F5A52"/>
    <w:rsid w:val="006F7101"/>
    <w:rsid w:val="00701F18"/>
    <w:rsid w:val="00702706"/>
    <w:rsid w:val="007029E9"/>
    <w:rsid w:val="00702E16"/>
    <w:rsid w:val="007038B0"/>
    <w:rsid w:val="00705E49"/>
    <w:rsid w:val="00705FCB"/>
    <w:rsid w:val="007066DA"/>
    <w:rsid w:val="007066FE"/>
    <w:rsid w:val="0070740E"/>
    <w:rsid w:val="007075B7"/>
    <w:rsid w:val="00707D73"/>
    <w:rsid w:val="00710493"/>
    <w:rsid w:val="00710D5A"/>
    <w:rsid w:val="00710DC0"/>
    <w:rsid w:val="007115C6"/>
    <w:rsid w:val="007117C4"/>
    <w:rsid w:val="00713357"/>
    <w:rsid w:val="00714643"/>
    <w:rsid w:val="00715305"/>
    <w:rsid w:val="007159F7"/>
    <w:rsid w:val="00715A16"/>
    <w:rsid w:val="00716B53"/>
    <w:rsid w:val="00717A2B"/>
    <w:rsid w:val="00720670"/>
    <w:rsid w:val="00720EE8"/>
    <w:rsid w:val="00721911"/>
    <w:rsid w:val="00721AC9"/>
    <w:rsid w:val="00721FF1"/>
    <w:rsid w:val="00722B4F"/>
    <w:rsid w:val="00722B87"/>
    <w:rsid w:val="0072377A"/>
    <w:rsid w:val="007237C2"/>
    <w:rsid w:val="00723DB7"/>
    <w:rsid w:val="00726522"/>
    <w:rsid w:val="00726B2F"/>
    <w:rsid w:val="00726FD7"/>
    <w:rsid w:val="007271CF"/>
    <w:rsid w:val="00727F79"/>
    <w:rsid w:val="0073067E"/>
    <w:rsid w:val="00731FE8"/>
    <w:rsid w:val="00733285"/>
    <w:rsid w:val="00734715"/>
    <w:rsid w:val="00735F7C"/>
    <w:rsid w:val="0073766E"/>
    <w:rsid w:val="00737AE9"/>
    <w:rsid w:val="00740372"/>
    <w:rsid w:val="00740620"/>
    <w:rsid w:val="00740C74"/>
    <w:rsid w:val="00740DB1"/>
    <w:rsid w:val="00742012"/>
    <w:rsid w:val="0074234A"/>
    <w:rsid w:val="00743B93"/>
    <w:rsid w:val="00744811"/>
    <w:rsid w:val="0074612F"/>
    <w:rsid w:val="00746C98"/>
    <w:rsid w:val="00746F5D"/>
    <w:rsid w:val="00750AD8"/>
    <w:rsid w:val="00751542"/>
    <w:rsid w:val="007515CB"/>
    <w:rsid w:val="007517F7"/>
    <w:rsid w:val="00751868"/>
    <w:rsid w:val="00751A02"/>
    <w:rsid w:val="00752347"/>
    <w:rsid w:val="007523F0"/>
    <w:rsid w:val="0075257F"/>
    <w:rsid w:val="00752669"/>
    <w:rsid w:val="007533E6"/>
    <w:rsid w:val="00753D05"/>
    <w:rsid w:val="00755539"/>
    <w:rsid w:val="00755D4D"/>
    <w:rsid w:val="00756C97"/>
    <w:rsid w:val="00757074"/>
    <w:rsid w:val="00757F5D"/>
    <w:rsid w:val="00757FB3"/>
    <w:rsid w:val="007603EE"/>
    <w:rsid w:val="00761DBB"/>
    <w:rsid w:val="00761ECA"/>
    <w:rsid w:val="00762654"/>
    <w:rsid w:val="00762ABD"/>
    <w:rsid w:val="00762B3E"/>
    <w:rsid w:val="00763A3C"/>
    <w:rsid w:val="00763FBC"/>
    <w:rsid w:val="0076452F"/>
    <w:rsid w:val="007656A8"/>
    <w:rsid w:val="00765886"/>
    <w:rsid w:val="00767E9C"/>
    <w:rsid w:val="0077081B"/>
    <w:rsid w:val="00770BF0"/>
    <w:rsid w:val="00770F94"/>
    <w:rsid w:val="0077112B"/>
    <w:rsid w:val="007712B8"/>
    <w:rsid w:val="007728C6"/>
    <w:rsid w:val="00773701"/>
    <w:rsid w:val="00774286"/>
    <w:rsid w:val="00774DEE"/>
    <w:rsid w:val="00775819"/>
    <w:rsid w:val="0077598F"/>
    <w:rsid w:val="007774CA"/>
    <w:rsid w:val="0077799B"/>
    <w:rsid w:val="00777F91"/>
    <w:rsid w:val="0078189E"/>
    <w:rsid w:val="00781B6C"/>
    <w:rsid w:val="00782A9B"/>
    <w:rsid w:val="00782E27"/>
    <w:rsid w:val="00783E5E"/>
    <w:rsid w:val="00783EAB"/>
    <w:rsid w:val="0078441B"/>
    <w:rsid w:val="0078536D"/>
    <w:rsid w:val="0078599B"/>
    <w:rsid w:val="00787DA3"/>
    <w:rsid w:val="00790D58"/>
    <w:rsid w:val="00791393"/>
    <w:rsid w:val="007923FF"/>
    <w:rsid w:val="00792A5E"/>
    <w:rsid w:val="00793750"/>
    <w:rsid w:val="00793B6F"/>
    <w:rsid w:val="00793C25"/>
    <w:rsid w:val="0079455B"/>
    <w:rsid w:val="0079455C"/>
    <w:rsid w:val="0079582E"/>
    <w:rsid w:val="00795EE4"/>
    <w:rsid w:val="00796E0E"/>
    <w:rsid w:val="00796E1E"/>
    <w:rsid w:val="007A039E"/>
    <w:rsid w:val="007A0F65"/>
    <w:rsid w:val="007A1251"/>
    <w:rsid w:val="007A17AA"/>
    <w:rsid w:val="007A1A3B"/>
    <w:rsid w:val="007A20E5"/>
    <w:rsid w:val="007A25FD"/>
    <w:rsid w:val="007A27E9"/>
    <w:rsid w:val="007A3208"/>
    <w:rsid w:val="007A3480"/>
    <w:rsid w:val="007A3BCB"/>
    <w:rsid w:val="007A3C5F"/>
    <w:rsid w:val="007A56A8"/>
    <w:rsid w:val="007A6C5A"/>
    <w:rsid w:val="007A7AD0"/>
    <w:rsid w:val="007A7CA4"/>
    <w:rsid w:val="007B04B7"/>
    <w:rsid w:val="007B08E1"/>
    <w:rsid w:val="007B0BDD"/>
    <w:rsid w:val="007B0F03"/>
    <w:rsid w:val="007B209A"/>
    <w:rsid w:val="007B20E2"/>
    <w:rsid w:val="007B20EF"/>
    <w:rsid w:val="007B3658"/>
    <w:rsid w:val="007B4099"/>
    <w:rsid w:val="007B4CE8"/>
    <w:rsid w:val="007B5DE8"/>
    <w:rsid w:val="007B6412"/>
    <w:rsid w:val="007B660C"/>
    <w:rsid w:val="007B761A"/>
    <w:rsid w:val="007B7DF2"/>
    <w:rsid w:val="007C18F5"/>
    <w:rsid w:val="007C32CE"/>
    <w:rsid w:val="007C3457"/>
    <w:rsid w:val="007C3FF6"/>
    <w:rsid w:val="007C4E7D"/>
    <w:rsid w:val="007C5877"/>
    <w:rsid w:val="007C6FC9"/>
    <w:rsid w:val="007D00C2"/>
    <w:rsid w:val="007D0F55"/>
    <w:rsid w:val="007D13AF"/>
    <w:rsid w:val="007D13F6"/>
    <w:rsid w:val="007D1E3A"/>
    <w:rsid w:val="007D27D4"/>
    <w:rsid w:val="007D28AD"/>
    <w:rsid w:val="007D2DD8"/>
    <w:rsid w:val="007D2FF1"/>
    <w:rsid w:val="007D3B9C"/>
    <w:rsid w:val="007D3E7F"/>
    <w:rsid w:val="007D4DB2"/>
    <w:rsid w:val="007D526F"/>
    <w:rsid w:val="007D53B0"/>
    <w:rsid w:val="007D64A1"/>
    <w:rsid w:val="007D76F7"/>
    <w:rsid w:val="007E029E"/>
    <w:rsid w:val="007E179E"/>
    <w:rsid w:val="007E1A8A"/>
    <w:rsid w:val="007E1FDA"/>
    <w:rsid w:val="007E27DD"/>
    <w:rsid w:val="007E3264"/>
    <w:rsid w:val="007E4397"/>
    <w:rsid w:val="007E43EE"/>
    <w:rsid w:val="007E447E"/>
    <w:rsid w:val="007E49A8"/>
    <w:rsid w:val="007E540E"/>
    <w:rsid w:val="007E570F"/>
    <w:rsid w:val="007E5EF5"/>
    <w:rsid w:val="007E6E65"/>
    <w:rsid w:val="007E7BB4"/>
    <w:rsid w:val="007F10E6"/>
    <w:rsid w:val="007F13FF"/>
    <w:rsid w:val="007F1AD0"/>
    <w:rsid w:val="007F1BEA"/>
    <w:rsid w:val="007F2DE6"/>
    <w:rsid w:val="007F42F9"/>
    <w:rsid w:val="007F496E"/>
    <w:rsid w:val="007F4B87"/>
    <w:rsid w:val="007F5117"/>
    <w:rsid w:val="007F5798"/>
    <w:rsid w:val="007F5DBD"/>
    <w:rsid w:val="007F634F"/>
    <w:rsid w:val="007F664B"/>
    <w:rsid w:val="007F7007"/>
    <w:rsid w:val="007F7F1B"/>
    <w:rsid w:val="00800969"/>
    <w:rsid w:val="00800CF3"/>
    <w:rsid w:val="0080131F"/>
    <w:rsid w:val="00802095"/>
    <w:rsid w:val="00802A6E"/>
    <w:rsid w:val="00802DAF"/>
    <w:rsid w:val="008034CB"/>
    <w:rsid w:val="008043B9"/>
    <w:rsid w:val="008051BD"/>
    <w:rsid w:val="00805391"/>
    <w:rsid w:val="00805AE2"/>
    <w:rsid w:val="008064CA"/>
    <w:rsid w:val="008066A4"/>
    <w:rsid w:val="00806740"/>
    <w:rsid w:val="00806A33"/>
    <w:rsid w:val="0080704E"/>
    <w:rsid w:val="00807C33"/>
    <w:rsid w:val="00807CD5"/>
    <w:rsid w:val="00807EED"/>
    <w:rsid w:val="00811C3E"/>
    <w:rsid w:val="00811D9C"/>
    <w:rsid w:val="00811F53"/>
    <w:rsid w:val="00813554"/>
    <w:rsid w:val="00813A57"/>
    <w:rsid w:val="008154CC"/>
    <w:rsid w:val="00815F37"/>
    <w:rsid w:val="0081631C"/>
    <w:rsid w:val="0081666D"/>
    <w:rsid w:val="00816B14"/>
    <w:rsid w:val="00816F9B"/>
    <w:rsid w:val="008171E0"/>
    <w:rsid w:val="00817534"/>
    <w:rsid w:val="00817D15"/>
    <w:rsid w:val="00820FF9"/>
    <w:rsid w:val="0082181C"/>
    <w:rsid w:val="00821C56"/>
    <w:rsid w:val="00821DAC"/>
    <w:rsid w:val="0082258B"/>
    <w:rsid w:val="00822D80"/>
    <w:rsid w:val="00822E30"/>
    <w:rsid w:val="00823248"/>
    <w:rsid w:val="00823598"/>
    <w:rsid w:val="00824223"/>
    <w:rsid w:val="00824F77"/>
    <w:rsid w:val="008254B7"/>
    <w:rsid w:val="008279A1"/>
    <w:rsid w:val="008279DE"/>
    <w:rsid w:val="00830700"/>
    <w:rsid w:val="00832CFE"/>
    <w:rsid w:val="0083359E"/>
    <w:rsid w:val="008345ED"/>
    <w:rsid w:val="00836153"/>
    <w:rsid w:val="008362EA"/>
    <w:rsid w:val="00836A77"/>
    <w:rsid w:val="008371BA"/>
    <w:rsid w:val="008374CD"/>
    <w:rsid w:val="00837914"/>
    <w:rsid w:val="00837C7A"/>
    <w:rsid w:val="00841013"/>
    <w:rsid w:val="0084126D"/>
    <w:rsid w:val="00841C38"/>
    <w:rsid w:val="00842F21"/>
    <w:rsid w:val="00843D5B"/>
    <w:rsid w:val="00843D83"/>
    <w:rsid w:val="00844132"/>
    <w:rsid w:val="00846464"/>
    <w:rsid w:val="00846BFE"/>
    <w:rsid w:val="008503C5"/>
    <w:rsid w:val="00851B8A"/>
    <w:rsid w:val="0085211A"/>
    <w:rsid w:val="008524FA"/>
    <w:rsid w:val="00853289"/>
    <w:rsid w:val="00855FE8"/>
    <w:rsid w:val="008568E5"/>
    <w:rsid w:val="0085694B"/>
    <w:rsid w:val="00856A33"/>
    <w:rsid w:val="00856D05"/>
    <w:rsid w:val="00856E7B"/>
    <w:rsid w:val="00856F2D"/>
    <w:rsid w:val="008574CF"/>
    <w:rsid w:val="008576D6"/>
    <w:rsid w:val="008609DB"/>
    <w:rsid w:val="008629A1"/>
    <w:rsid w:val="00864F5F"/>
    <w:rsid w:val="008672DC"/>
    <w:rsid w:val="00867355"/>
    <w:rsid w:val="0086764D"/>
    <w:rsid w:val="008718E4"/>
    <w:rsid w:val="00871FE8"/>
    <w:rsid w:val="00872576"/>
    <w:rsid w:val="00872595"/>
    <w:rsid w:val="0087341C"/>
    <w:rsid w:val="0087371A"/>
    <w:rsid w:val="00873DE4"/>
    <w:rsid w:val="0087517B"/>
    <w:rsid w:val="00876FE7"/>
    <w:rsid w:val="00877A1A"/>
    <w:rsid w:val="00877F41"/>
    <w:rsid w:val="00880345"/>
    <w:rsid w:val="008803BE"/>
    <w:rsid w:val="00880951"/>
    <w:rsid w:val="00881988"/>
    <w:rsid w:val="00882CBA"/>
    <w:rsid w:val="00883DE5"/>
    <w:rsid w:val="0088411A"/>
    <w:rsid w:val="0088567A"/>
    <w:rsid w:val="00885B8F"/>
    <w:rsid w:val="00885EF3"/>
    <w:rsid w:val="0088733A"/>
    <w:rsid w:val="008874EF"/>
    <w:rsid w:val="00887E38"/>
    <w:rsid w:val="008902CA"/>
    <w:rsid w:val="008911A9"/>
    <w:rsid w:val="00891434"/>
    <w:rsid w:val="00891AB9"/>
    <w:rsid w:val="00893D65"/>
    <w:rsid w:val="008941A9"/>
    <w:rsid w:val="00894CF2"/>
    <w:rsid w:val="0089505D"/>
    <w:rsid w:val="00895526"/>
    <w:rsid w:val="00895610"/>
    <w:rsid w:val="00895AEF"/>
    <w:rsid w:val="00895EB1"/>
    <w:rsid w:val="00896513"/>
    <w:rsid w:val="00896FBF"/>
    <w:rsid w:val="00897610"/>
    <w:rsid w:val="008A00F8"/>
    <w:rsid w:val="008A234E"/>
    <w:rsid w:val="008A357B"/>
    <w:rsid w:val="008A4CF3"/>
    <w:rsid w:val="008A5397"/>
    <w:rsid w:val="008A6684"/>
    <w:rsid w:val="008A76D4"/>
    <w:rsid w:val="008B0635"/>
    <w:rsid w:val="008B12DD"/>
    <w:rsid w:val="008B192B"/>
    <w:rsid w:val="008B1FA2"/>
    <w:rsid w:val="008B2042"/>
    <w:rsid w:val="008B2050"/>
    <w:rsid w:val="008B28EC"/>
    <w:rsid w:val="008B386D"/>
    <w:rsid w:val="008B4B73"/>
    <w:rsid w:val="008B5B9E"/>
    <w:rsid w:val="008B5CB7"/>
    <w:rsid w:val="008B6DBE"/>
    <w:rsid w:val="008B7B74"/>
    <w:rsid w:val="008C065A"/>
    <w:rsid w:val="008C0DDE"/>
    <w:rsid w:val="008C1F9D"/>
    <w:rsid w:val="008C217B"/>
    <w:rsid w:val="008C361B"/>
    <w:rsid w:val="008C436B"/>
    <w:rsid w:val="008C53C5"/>
    <w:rsid w:val="008C628F"/>
    <w:rsid w:val="008C6429"/>
    <w:rsid w:val="008C6CDA"/>
    <w:rsid w:val="008C7423"/>
    <w:rsid w:val="008D0048"/>
    <w:rsid w:val="008D0C6C"/>
    <w:rsid w:val="008D15D8"/>
    <w:rsid w:val="008D2841"/>
    <w:rsid w:val="008D2B80"/>
    <w:rsid w:val="008D2EB2"/>
    <w:rsid w:val="008D2F7F"/>
    <w:rsid w:val="008D3A8B"/>
    <w:rsid w:val="008D3BF3"/>
    <w:rsid w:val="008D3FD5"/>
    <w:rsid w:val="008D4636"/>
    <w:rsid w:val="008D4846"/>
    <w:rsid w:val="008D4C14"/>
    <w:rsid w:val="008D50A7"/>
    <w:rsid w:val="008D5ACC"/>
    <w:rsid w:val="008D6441"/>
    <w:rsid w:val="008D6865"/>
    <w:rsid w:val="008D7129"/>
    <w:rsid w:val="008E0038"/>
    <w:rsid w:val="008E0209"/>
    <w:rsid w:val="008E0784"/>
    <w:rsid w:val="008E1581"/>
    <w:rsid w:val="008E23DE"/>
    <w:rsid w:val="008E2B7A"/>
    <w:rsid w:val="008E4D78"/>
    <w:rsid w:val="008E5A45"/>
    <w:rsid w:val="008E5A5F"/>
    <w:rsid w:val="008E60AC"/>
    <w:rsid w:val="008E6610"/>
    <w:rsid w:val="008E6B4D"/>
    <w:rsid w:val="008E6D82"/>
    <w:rsid w:val="008E7112"/>
    <w:rsid w:val="008E7163"/>
    <w:rsid w:val="008F00BE"/>
    <w:rsid w:val="008F1439"/>
    <w:rsid w:val="008F17B7"/>
    <w:rsid w:val="008F3332"/>
    <w:rsid w:val="008F38AF"/>
    <w:rsid w:val="008F3E15"/>
    <w:rsid w:val="008F5551"/>
    <w:rsid w:val="008F5ED3"/>
    <w:rsid w:val="008F650F"/>
    <w:rsid w:val="008F69A4"/>
    <w:rsid w:val="008F76BA"/>
    <w:rsid w:val="008F7B72"/>
    <w:rsid w:val="00901072"/>
    <w:rsid w:val="009027F2"/>
    <w:rsid w:val="009030B0"/>
    <w:rsid w:val="0090347D"/>
    <w:rsid w:val="00903539"/>
    <w:rsid w:val="00905A3C"/>
    <w:rsid w:val="00905A96"/>
    <w:rsid w:val="009061C9"/>
    <w:rsid w:val="0090676D"/>
    <w:rsid w:val="00906CB4"/>
    <w:rsid w:val="00906E94"/>
    <w:rsid w:val="0090753A"/>
    <w:rsid w:val="00910401"/>
    <w:rsid w:val="00911684"/>
    <w:rsid w:val="00911EEA"/>
    <w:rsid w:val="009120C3"/>
    <w:rsid w:val="0091244D"/>
    <w:rsid w:val="00912EA6"/>
    <w:rsid w:val="00913952"/>
    <w:rsid w:val="009139EF"/>
    <w:rsid w:val="0091446D"/>
    <w:rsid w:val="00914600"/>
    <w:rsid w:val="00915913"/>
    <w:rsid w:val="00915D43"/>
    <w:rsid w:val="009167B6"/>
    <w:rsid w:val="00917C49"/>
    <w:rsid w:val="00917F13"/>
    <w:rsid w:val="00920449"/>
    <w:rsid w:val="00920516"/>
    <w:rsid w:val="009217C3"/>
    <w:rsid w:val="00921C75"/>
    <w:rsid w:val="009237A0"/>
    <w:rsid w:val="0092388A"/>
    <w:rsid w:val="0092398A"/>
    <w:rsid w:val="009243F6"/>
    <w:rsid w:val="0092539C"/>
    <w:rsid w:val="009264E8"/>
    <w:rsid w:val="0092666A"/>
    <w:rsid w:val="00926D32"/>
    <w:rsid w:val="0092726D"/>
    <w:rsid w:val="009274B2"/>
    <w:rsid w:val="0092753B"/>
    <w:rsid w:val="009279FE"/>
    <w:rsid w:val="0093125E"/>
    <w:rsid w:val="00931280"/>
    <w:rsid w:val="00931D55"/>
    <w:rsid w:val="00932024"/>
    <w:rsid w:val="00932384"/>
    <w:rsid w:val="00932551"/>
    <w:rsid w:val="00932854"/>
    <w:rsid w:val="00933048"/>
    <w:rsid w:val="0093436F"/>
    <w:rsid w:val="00934B1D"/>
    <w:rsid w:val="0093575B"/>
    <w:rsid w:val="00936315"/>
    <w:rsid w:val="00937EDD"/>
    <w:rsid w:val="00937F5E"/>
    <w:rsid w:val="00940450"/>
    <w:rsid w:val="00940993"/>
    <w:rsid w:val="00940E4E"/>
    <w:rsid w:val="009413ED"/>
    <w:rsid w:val="0094462C"/>
    <w:rsid w:val="00945213"/>
    <w:rsid w:val="00945798"/>
    <w:rsid w:val="00945D98"/>
    <w:rsid w:val="009461A4"/>
    <w:rsid w:val="009471FF"/>
    <w:rsid w:val="00947340"/>
    <w:rsid w:val="00947979"/>
    <w:rsid w:val="00947FD6"/>
    <w:rsid w:val="00951717"/>
    <w:rsid w:val="009517F1"/>
    <w:rsid w:val="00951D54"/>
    <w:rsid w:val="00952839"/>
    <w:rsid w:val="00952F47"/>
    <w:rsid w:val="00953AB9"/>
    <w:rsid w:val="009547CF"/>
    <w:rsid w:val="0095542B"/>
    <w:rsid w:val="009564B5"/>
    <w:rsid w:val="00957AA6"/>
    <w:rsid w:val="00957BC5"/>
    <w:rsid w:val="00961A65"/>
    <w:rsid w:val="009620AA"/>
    <w:rsid w:val="009622E3"/>
    <w:rsid w:val="009630D4"/>
    <w:rsid w:val="00963A2E"/>
    <w:rsid w:val="00963D1F"/>
    <w:rsid w:val="009648F2"/>
    <w:rsid w:val="0096517E"/>
    <w:rsid w:val="0096556D"/>
    <w:rsid w:val="009658BC"/>
    <w:rsid w:val="009664BA"/>
    <w:rsid w:val="0096657A"/>
    <w:rsid w:val="00967AC5"/>
    <w:rsid w:val="00967EDD"/>
    <w:rsid w:val="00970E53"/>
    <w:rsid w:val="009729D7"/>
    <w:rsid w:val="00972A67"/>
    <w:rsid w:val="00973016"/>
    <w:rsid w:val="00973088"/>
    <w:rsid w:val="0097331B"/>
    <w:rsid w:val="009743DE"/>
    <w:rsid w:val="0097468F"/>
    <w:rsid w:val="0097499E"/>
    <w:rsid w:val="00974F26"/>
    <w:rsid w:val="00974F97"/>
    <w:rsid w:val="0097529F"/>
    <w:rsid w:val="009759EC"/>
    <w:rsid w:val="00975A1F"/>
    <w:rsid w:val="00976B81"/>
    <w:rsid w:val="00977AE2"/>
    <w:rsid w:val="00977E9D"/>
    <w:rsid w:val="00980A43"/>
    <w:rsid w:val="00981004"/>
    <w:rsid w:val="009817A4"/>
    <w:rsid w:val="0098244D"/>
    <w:rsid w:val="00983191"/>
    <w:rsid w:val="009832C5"/>
    <w:rsid w:val="0098512C"/>
    <w:rsid w:val="009875D8"/>
    <w:rsid w:val="00991124"/>
    <w:rsid w:val="009915DA"/>
    <w:rsid w:val="00991ADD"/>
    <w:rsid w:val="00991DC5"/>
    <w:rsid w:val="00992257"/>
    <w:rsid w:val="00992D1D"/>
    <w:rsid w:val="00993617"/>
    <w:rsid w:val="00993B1C"/>
    <w:rsid w:val="00993E27"/>
    <w:rsid w:val="0099455B"/>
    <w:rsid w:val="00995309"/>
    <w:rsid w:val="00995A79"/>
    <w:rsid w:val="00996234"/>
    <w:rsid w:val="00996CE6"/>
    <w:rsid w:val="00996E80"/>
    <w:rsid w:val="009975B0"/>
    <w:rsid w:val="00997A69"/>
    <w:rsid w:val="009A0100"/>
    <w:rsid w:val="009A08C3"/>
    <w:rsid w:val="009A0A6D"/>
    <w:rsid w:val="009A28F9"/>
    <w:rsid w:val="009A50F4"/>
    <w:rsid w:val="009A5671"/>
    <w:rsid w:val="009A5708"/>
    <w:rsid w:val="009A645A"/>
    <w:rsid w:val="009A68AC"/>
    <w:rsid w:val="009A6C85"/>
    <w:rsid w:val="009A7174"/>
    <w:rsid w:val="009A7975"/>
    <w:rsid w:val="009A7C1E"/>
    <w:rsid w:val="009B1258"/>
    <w:rsid w:val="009B22A2"/>
    <w:rsid w:val="009B3168"/>
    <w:rsid w:val="009B3224"/>
    <w:rsid w:val="009B38BC"/>
    <w:rsid w:val="009B3DA8"/>
    <w:rsid w:val="009B4E02"/>
    <w:rsid w:val="009B54A5"/>
    <w:rsid w:val="009B5C56"/>
    <w:rsid w:val="009B5D4C"/>
    <w:rsid w:val="009B6AA5"/>
    <w:rsid w:val="009B73D9"/>
    <w:rsid w:val="009B75D8"/>
    <w:rsid w:val="009B7F90"/>
    <w:rsid w:val="009C1620"/>
    <w:rsid w:val="009C27A7"/>
    <w:rsid w:val="009C3207"/>
    <w:rsid w:val="009C3B66"/>
    <w:rsid w:val="009C3E22"/>
    <w:rsid w:val="009C4112"/>
    <w:rsid w:val="009C5165"/>
    <w:rsid w:val="009C63EA"/>
    <w:rsid w:val="009C7B22"/>
    <w:rsid w:val="009C7B2C"/>
    <w:rsid w:val="009C7BE1"/>
    <w:rsid w:val="009D09D2"/>
    <w:rsid w:val="009D0A18"/>
    <w:rsid w:val="009D0C31"/>
    <w:rsid w:val="009D0CCD"/>
    <w:rsid w:val="009D1552"/>
    <w:rsid w:val="009D3AE8"/>
    <w:rsid w:val="009D3D02"/>
    <w:rsid w:val="009D4230"/>
    <w:rsid w:val="009D44C6"/>
    <w:rsid w:val="009D519E"/>
    <w:rsid w:val="009D52DE"/>
    <w:rsid w:val="009D54ED"/>
    <w:rsid w:val="009D5E81"/>
    <w:rsid w:val="009D6863"/>
    <w:rsid w:val="009D7790"/>
    <w:rsid w:val="009E1CA3"/>
    <w:rsid w:val="009E2352"/>
    <w:rsid w:val="009E269B"/>
    <w:rsid w:val="009E27E9"/>
    <w:rsid w:val="009E2F26"/>
    <w:rsid w:val="009E45C0"/>
    <w:rsid w:val="009E51A6"/>
    <w:rsid w:val="009E5696"/>
    <w:rsid w:val="009E6E86"/>
    <w:rsid w:val="009E7310"/>
    <w:rsid w:val="009E77E4"/>
    <w:rsid w:val="009E7F8D"/>
    <w:rsid w:val="009F1CE6"/>
    <w:rsid w:val="009F22CF"/>
    <w:rsid w:val="009F3A12"/>
    <w:rsid w:val="009F44D4"/>
    <w:rsid w:val="009F4EF7"/>
    <w:rsid w:val="009F5BA2"/>
    <w:rsid w:val="009F5F20"/>
    <w:rsid w:val="009F66C8"/>
    <w:rsid w:val="009F6F63"/>
    <w:rsid w:val="009F7114"/>
    <w:rsid w:val="00A005E9"/>
    <w:rsid w:val="00A00DC5"/>
    <w:rsid w:val="00A01067"/>
    <w:rsid w:val="00A0126B"/>
    <w:rsid w:val="00A01C3F"/>
    <w:rsid w:val="00A01D7B"/>
    <w:rsid w:val="00A0257F"/>
    <w:rsid w:val="00A03ACD"/>
    <w:rsid w:val="00A045F0"/>
    <w:rsid w:val="00A0588B"/>
    <w:rsid w:val="00A06B56"/>
    <w:rsid w:val="00A07605"/>
    <w:rsid w:val="00A07BE2"/>
    <w:rsid w:val="00A07D96"/>
    <w:rsid w:val="00A07FDF"/>
    <w:rsid w:val="00A106B2"/>
    <w:rsid w:val="00A107DF"/>
    <w:rsid w:val="00A107E4"/>
    <w:rsid w:val="00A10F6A"/>
    <w:rsid w:val="00A10FBE"/>
    <w:rsid w:val="00A11D8D"/>
    <w:rsid w:val="00A12B43"/>
    <w:rsid w:val="00A12C90"/>
    <w:rsid w:val="00A133FD"/>
    <w:rsid w:val="00A13424"/>
    <w:rsid w:val="00A15638"/>
    <w:rsid w:val="00A15647"/>
    <w:rsid w:val="00A16774"/>
    <w:rsid w:val="00A178A9"/>
    <w:rsid w:val="00A17D22"/>
    <w:rsid w:val="00A17FB1"/>
    <w:rsid w:val="00A20BED"/>
    <w:rsid w:val="00A20F08"/>
    <w:rsid w:val="00A21825"/>
    <w:rsid w:val="00A21F53"/>
    <w:rsid w:val="00A22285"/>
    <w:rsid w:val="00A2233F"/>
    <w:rsid w:val="00A22E03"/>
    <w:rsid w:val="00A22E38"/>
    <w:rsid w:val="00A237AE"/>
    <w:rsid w:val="00A237F2"/>
    <w:rsid w:val="00A2387D"/>
    <w:rsid w:val="00A2471E"/>
    <w:rsid w:val="00A25A48"/>
    <w:rsid w:val="00A262D8"/>
    <w:rsid w:val="00A2737A"/>
    <w:rsid w:val="00A27FFE"/>
    <w:rsid w:val="00A30D47"/>
    <w:rsid w:val="00A313AD"/>
    <w:rsid w:val="00A315E6"/>
    <w:rsid w:val="00A3211E"/>
    <w:rsid w:val="00A3224E"/>
    <w:rsid w:val="00A322C4"/>
    <w:rsid w:val="00A328B7"/>
    <w:rsid w:val="00A32957"/>
    <w:rsid w:val="00A32CFE"/>
    <w:rsid w:val="00A349D5"/>
    <w:rsid w:val="00A350FE"/>
    <w:rsid w:val="00A35802"/>
    <w:rsid w:val="00A358FB"/>
    <w:rsid w:val="00A3607A"/>
    <w:rsid w:val="00A363D5"/>
    <w:rsid w:val="00A36802"/>
    <w:rsid w:val="00A36B5B"/>
    <w:rsid w:val="00A37042"/>
    <w:rsid w:val="00A3746C"/>
    <w:rsid w:val="00A403F7"/>
    <w:rsid w:val="00A42065"/>
    <w:rsid w:val="00A42248"/>
    <w:rsid w:val="00A42B08"/>
    <w:rsid w:val="00A431B1"/>
    <w:rsid w:val="00A431E6"/>
    <w:rsid w:val="00A43902"/>
    <w:rsid w:val="00A43A19"/>
    <w:rsid w:val="00A44679"/>
    <w:rsid w:val="00A44D50"/>
    <w:rsid w:val="00A45057"/>
    <w:rsid w:val="00A456F6"/>
    <w:rsid w:val="00A46828"/>
    <w:rsid w:val="00A47687"/>
    <w:rsid w:val="00A5013E"/>
    <w:rsid w:val="00A505A3"/>
    <w:rsid w:val="00A51468"/>
    <w:rsid w:val="00A532C5"/>
    <w:rsid w:val="00A53B2C"/>
    <w:rsid w:val="00A551B3"/>
    <w:rsid w:val="00A55F14"/>
    <w:rsid w:val="00A56725"/>
    <w:rsid w:val="00A56B8E"/>
    <w:rsid w:val="00A56FA6"/>
    <w:rsid w:val="00A57839"/>
    <w:rsid w:val="00A601B0"/>
    <w:rsid w:val="00A610F9"/>
    <w:rsid w:val="00A62A91"/>
    <w:rsid w:val="00A62DF9"/>
    <w:rsid w:val="00A63954"/>
    <w:rsid w:val="00A64416"/>
    <w:rsid w:val="00A64C63"/>
    <w:rsid w:val="00A66466"/>
    <w:rsid w:val="00A66565"/>
    <w:rsid w:val="00A666E0"/>
    <w:rsid w:val="00A66898"/>
    <w:rsid w:val="00A677FF"/>
    <w:rsid w:val="00A67AA3"/>
    <w:rsid w:val="00A707AA"/>
    <w:rsid w:val="00A70F31"/>
    <w:rsid w:val="00A71275"/>
    <w:rsid w:val="00A73220"/>
    <w:rsid w:val="00A7343B"/>
    <w:rsid w:val="00A73514"/>
    <w:rsid w:val="00A73545"/>
    <w:rsid w:val="00A736A1"/>
    <w:rsid w:val="00A73B03"/>
    <w:rsid w:val="00A755AE"/>
    <w:rsid w:val="00A764C7"/>
    <w:rsid w:val="00A7736E"/>
    <w:rsid w:val="00A77CCE"/>
    <w:rsid w:val="00A804B7"/>
    <w:rsid w:val="00A807BE"/>
    <w:rsid w:val="00A81257"/>
    <w:rsid w:val="00A81360"/>
    <w:rsid w:val="00A8210B"/>
    <w:rsid w:val="00A82D65"/>
    <w:rsid w:val="00A848CD"/>
    <w:rsid w:val="00A854FA"/>
    <w:rsid w:val="00A85C66"/>
    <w:rsid w:val="00A868BE"/>
    <w:rsid w:val="00A86B5B"/>
    <w:rsid w:val="00A906B3"/>
    <w:rsid w:val="00A91F6B"/>
    <w:rsid w:val="00A91FEC"/>
    <w:rsid w:val="00A9211E"/>
    <w:rsid w:val="00A92229"/>
    <w:rsid w:val="00A92486"/>
    <w:rsid w:val="00A92A27"/>
    <w:rsid w:val="00A93233"/>
    <w:rsid w:val="00A93845"/>
    <w:rsid w:val="00A941E3"/>
    <w:rsid w:val="00A947CC"/>
    <w:rsid w:val="00A96DB7"/>
    <w:rsid w:val="00A96DF9"/>
    <w:rsid w:val="00A97341"/>
    <w:rsid w:val="00A97585"/>
    <w:rsid w:val="00A9781E"/>
    <w:rsid w:val="00AA036B"/>
    <w:rsid w:val="00AA0381"/>
    <w:rsid w:val="00AA0DDB"/>
    <w:rsid w:val="00AA116F"/>
    <w:rsid w:val="00AA16DC"/>
    <w:rsid w:val="00AA2F8B"/>
    <w:rsid w:val="00AA3108"/>
    <w:rsid w:val="00AA33C1"/>
    <w:rsid w:val="00AA3468"/>
    <w:rsid w:val="00AA4BF6"/>
    <w:rsid w:val="00AA4F31"/>
    <w:rsid w:val="00AA5461"/>
    <w:rsid w:val="00AA614A"/>
    <w:rsid w:val="00AA6934"/>
    <w:rsid w:val="00AA69C7"/>
    <w:rsid w:val="00AA7C6A"/>
    <w:rsid w:val="00AA7EDD"/>
    <w:rsid w:val="00AB21B3"/>
    <w:rsid w:val="00AB2C10"/>
    <w:rsid w:val="00AB2CA7"/>
    <w:rsid w:val="00AB2D98"/>
    <w:rsid w:val="00AB3B4F"/>
    <w:rsid w:val="00AB4566"/>
    <w:rsid w:val="00AB4C0E"/>
    <w:rsid w:val="00AB55CB"/>
    <w:rsid w:val="00AB5A77"/>
    <w:rsid w:val="00AB6888"/>
    <w:rsid w:val="00AB6DCB"/>
    <w:rsid w:val="00AB7707"/>
    <w:rsid w:val="00AB7AC3"/>
    <w:rsid w:val="00AB7C27"/>
    <w:rsid w:val="00AC02B2"/>
    <w:rsid w:val="00AC0303"/>
    <w:rsid w:val="00AC0FFF"/>
    <w:rsid w:val="00AC13A7"/>
    <w:rsid w:val="00AC13BA"/>
    <w:rsid w:val="00AC2D84"/>
    <w:rsid w:val="00AC3A42"/>
    <w:rsid w:val="00AC47D7"/>
    <w:rsid w:val="00AC544E"/>
    <w:rsid w:val="00AC6558"/>
    <w:rsid w:val="00AC67BE"/>
    <w:rsid w:val="00AC68F4"/>
    <w:rsid w:val="00AC6CC8"/>
    <w:rsid w:val="00AC7154"/>
    <w:rsid w:val="00AC7376"/>
    <w:rsid w:val="00AC745D"/>
    <w:rsid w:val="00AC7931"/>
    <w:rsid w:val="00AC7A1F"/>
    <w:rsid w:val="00AD0629"/>
    <w:rsid w:val="00AD070D"/>
    <w:rsid w:val="00AD1D3B"/>
    <w:rsid w:val="00AD2624"/>
    <w:rsid w:val="00AD2652"/>
    <w:rsid w:val="00AD3401"/>
    <w:rsid w:val="00AD4247"/>
    <w:rsid w:val="00AD4C0D"/>
    <w:rsid w:val="00AD53AC"/>
    <w:rsid w:val="00AD55F9"/>
    <w:rsid w:val="00AD5756"/>
    <w:rsid w:val="00AD57BA"/>
    <w:rsid w:val="00AD5F10"/>
    <w:rsid w:val="00AD6407"/>
    <w:rsid w:val="00AD6501"/>
    <w:rsid w:val="00AD6CF5"/>
    <w:rsid w:val="00AD7A0E"/>
    <w:rsid w:val="00AE02A8"/>
    <w:rsid w:val="00AE0FDF"/>
    <w:rsid w:val="00AE1800"/>
    <w:rsid w:val="00AE1B77"/>
    <w:rsid w:val="00AE2578"/>
    <w:rsid w:val="00AE2701"/>
    <w:rsid w:val="00AE2AA0"/>
    <w:rsid w:val="00AE2F8B"/>
    <w:rsid w:val="00AE4DEE"/>
    <w:rsid w:val="00AE5A26"/>
    <w:rsid w:val="00AE6EF9"/>
    <w:rsid w:val="00AF11F5"/>
    <w:rsid w:val="00AF1B98"/>
    <w:rsid w:val="00AF22DB"/>
    <w:rsid w:val="00AF22DD"/>
    <w:rsid w:val="00AF2865"/>
    <w:rsid w:val="00AF3EFB"/>
    <w:rsid w:val="00AF41C5"/>
    <w:rsid w:val="00AF5040"/>
    <w:rsid w:val="00AF62A6"/>
    <w:rsid w:val="00AF7618"/>
    <w:rsid w:val="00AF7C08"/>
    <w:rsid w:val="00AF7FE6"/>
    <w:rsid w:val="00B004B0"/>
    <w:rsid w:val="00B018B8"/>
    <w:rsid w:val="00B02F2C"/>
    <w:rsid w:val="00B03331"/>
    <w:rsid w:val="00B03417"/>
    <w:rsid w:val="00B0572B"/>
    <w:rsid w:val="00B057AF"/>
    <w:rsid w:val="00B065F5"/>
    <w:rsid w:val="00B06EE8"/>
    <w:rsid w:val="00B10D49"/>
    <w:rsid w:val="00B11D1D"/>
    <w:rsid w:val="00B141B2"/>
    <w:rsid w:val="00B147CF"/>
    <w:rsid w:val="00B14DBA"/>
    <w:rsid w:val="00B15DC0"/>
    <w:rsid w:val="00B16007"/>
    <w:rsid w:val="00B1621B"/>
    <w:rsid w:val="00B21304"/>
    <w:rsid w:val="00B2180A"/>
    <w:rsid w:val="00B224F5"/>
    <w:rsid w:val="00B224FE"/>
    <w:rsid w:val="00B23A37"/>
    <w:rsid w:val="00B246FD"/>
    <w:rsid w:val="00B252ED"/>
    <w:rsid w:val="00B25AE1"/>
    <w:rsid w:val="00B26AA2"/>
    <w:rsid w:val="00B272D5"/>
    <w:rsid w:val="00B278A4"/>
    <w:rsid w:val="00B2791F"/>
    <w:rsid w:val="00B27A4D"/>
    <w:rsid w:val="00B27C3F"/>
    <w:rsid w:val="00B27F2D"/>
    <w:rsid w:val="00B3045B"/>
    <w:rsid w:val="00B31226"/>
    <w:rsid w:val="00B31D09"/>
    <w:rsid w:val="00B31E4F"/>
    <w:rsid w:val="00B32EBA"/>
    <w:rsid w:val="00B33C8C"/>
    <w:rsid w:val="00B34921"/>
    <w:rsid w:val="00B35357"/>
    <w:rsid w:val="00B35589"/>
    <w:rsid w:val="00B363BD"/>
    <w:rsid w:val="00B36E8B"/>
    <w:rsid w:val="00B373E8"/>
    <w:rsid w:val="00B37D24"/>
    <w:rsid w:val="00B37EDA"/>
    <w:rsid w:val="00B401AB"/>
    <w:rsid w:val="00B40BFA"/>
    <w:rsid w:val="00B412FA"/>
    <w:rsid w:val="00B41E2E"/>
    <w:rsid w:val="00B4284D"/>
    <w:rsid w:val="00B4385B"/>
    <w:rsid w:val="00B44D47"/>
    <w:rsid w:val="00B4525A"/>
    <w:rsid w:val="00B45329"/>
    <w:rsid w:val="00B45BFD"/>
    <w:rsid w:val="00B45CA6"/>
    <w:rsid w:val="00B46566"/>
    <w:rsid w:val="00B46EA8"/>
    <w:rsid w:val="00B46F6F"/>
    <w:rsid w:val="00B47DF5"/>
    <w:rsid w:val="00B47E5E"/>
    <w:rsid w:val="00B517A4"/>
    <w:rsid w:val="00B523C2"/>
    <w:rsid w:val="00B529F5"/>
    <w:rsid w:val="00B52B25"/>
    <w:rsid w:val="00B52E3F"/>
    <w:rsid w:val="00B53241"/>
    <w:rsid w:val="00B533F5"/>
    <w:rsid w:val="00B538B6"/>
    <w:rsid w:val="00B53C0E"/>
    <w:rsid w:val="00B548F5"/>
    <w:rsid w:val="00B54AC5"/>
    <w:rsid w:val="00B565D9"/>
    <w:rsid w:val="00B56C41"/>
    <w:rsid w:val="00B57E56"/>
    <w:rsid w:val="00B60670"/>
    <w:rsid w:val="00B60A4C"/>
    <w:rsid w:val="00B6131C"/>
    <w:rsid w:val="00B615A3"/>
    <w:rsid w:val="00B61FBE"/>
    <w:rsid w:val="00B62EEF"/>
    <w:rsid w:val="00B63D73"/>
    <w:rsid w:val="00B64725"/>
    <w:rsid w:val="00B658E0"/>
    <w:rsid w:val="00B662BB"/>
    <w:rsid w:val="00B6636D"/>
    <w:rsid w:val="00B67C03"/>
    <w:rsid w:val="00B67C21"/>
    <w:rsid w:val="00B70452"/>
    <w:rsid w:val="00B710E6"/>
    <w:rsid w:val="00B71423"/>
    <w:rsid w:val="00B71A42"/>
    <w:rsid w:val="00B71B92"/>
    <w:rsid w:val="00B71E01"/>
    <w:rsid w:val="00B722C1"/>
    <w:rsid w:val="00B7271B"/>
    <w:rsid w:val="00B7286D"/>
    <w:rsid w:val="00B72B3F"/>
    <w:rsid w:val="00B73499"/>
    <w:rsid w:val="00B7394A"/>
    <w:rsid w:val="00B73F95"/>
    <w:rsid w:val="00B746FE"/>
    <w:rsid w:val="00B74B28"/>
    <w:rsid w:val="00B7596A"/>
    <w:rsid w:val="00B76259"/>
    <w:rsid w:val="00B76498"/>
    <w:rsid w:val="00B81B08"/>
    <w:rsid w:val="00B82341"/>
    <w:rsid w:val="00B82D87"/>
    <w:rsid w:val="00B83612"/>
    <w:rsid w:val="00B83645"/>
    <w:rsid w:val="00B8421A"/>
    <w:rsid w:val="00B84BB2"/>
    <w:rsid w:val="00B87204"/>
    <w:rsid w:val="00B8720A"/>
    <w:rsid w:val="00B87901"/>
    <w:rsid w:val="00B90CB8"/>
    <w:rsid w:val="00B923E3"/>
    <w:rsid w:val="00B92D25"/>
    <w:rsid w:val="00B936A9"/>
    <w:rsid w:val="00B95403"/>
    <w:rsid w:val="00B95F5A"/>
    <w:rsid w:val="00B96E87"/>
    <w:rsid w:val="00BA0165"/>
    <w:rsid w:val="00BA051B"/>
    <w:rsid w:val="00BA30DB"/>
    <w:rsid w:val="00BA6DCE"/>
    <w:rsid w:val="00BA6FF4"/>
    <w:rsid w:val="00BA7584"/>
    <w:rsid w:val="00BA79C4"/>
    <w:rsid w:val="00BA7AB1"/>
    <w:rsid w:val="00BB10ED"/>
    <w:rsid w:val="00BB160F"/>
    <w:rsid w:val="00BB1B56"/>
    <w:rsid w:val="00BB1C21"/>
    <w:rsid w:val="00BB23C6"/>
    <w:rsid w:val="00BB27B6"/>
    <w:rsid w:val="00BB38C4"/>
    <w:rsid w:val="00BB462B"/>
    <w:rsid w:val="00BB4BF2"/>
    <w:rsid w:val="00BB5118"/>
    <w:rsid w:val="00BB53B2"/>
    <w:rsid w:val="00BB5CEC"/>
    <w:rsid w:val="00BB5E42"/>
    <w:rsid w:val="00BB6179"/>
    <w:rsid w:val="00BB627E"/>
    <w:rsid w:val="00BB6579"/>
    <w:rsid w:val="00BB703A"/>
    <w:rsid w:val="00BC0221"/>
    <w:rsid w:val="00BC039B"/>
    <w:rsid w:val="00BC08BB"/>
    <w:rsid w:val="00BC0ECA"/>
    <w:rsid w:val="00BC1777"/>
    <w:rsid w:val="00BC1B42"/>
    <w:rsid w:val="00BC1CA0"/>
    <w:rsid w:val="00BC2E47"/>
    <w:rsid w:val="00BC2F77"/>
    <w:rsid w:val="00BC306D"/>
    <w:rsid w:val="00BC351A"/>
    <w:rsid w:val="00BC3D4D"/>
    <w:rsid w:val="00BC4FD8"/>
    <w:rsid w:val="00BC54B1"/>
    <w:rsid w:val="00BC6AD8"/>
    <w:rsid w:val="00BC708E"/>
    <w:rsid w:val="00BC759C"/>
    <w:rsid w:val="00BD08CC"/>
    <w:rsid w:val="00BD1086"/>
    <w:rsid w:val="00BD2062"/>
    <w:rsid w:val="00BD24B1"/>
    <w:rsid w:val="00BD2E6D"/>
    <w:rsid w:val="00BD3106"/>
    <w:rsid w:val="00BD3622"/>
    <w:rsid w:val="00BD4183"/>
    <w:rsid w:val="00BD4320"/>
    <w:rsid w:val="00BD5A54"/>
    <w:rsid w:val="00BD5C68"/>
    <w:rsid w:val="00BD6C11"/>
    <w:rsid w:val="00BD79F1"/>
    <w:rsid w:val="00BD7DA5"/>
    <w:rsid w:val="00BD7DC6"/>
    <w:rsid w:val="00BD7F8B"/>
    <w:rsid w:val="00BE053E"/>
    <w:rsid w:val="00BE1C64"/>
    <w:rsid w:val="00BE30B7"/>
    <w:rsid w:val="00BE31D2"/>
    <w:rsid w:val="00BE3803"/>
    <w:rsid w:val="00BE3F49"/>
    <w:rsid w:val="00BE43E6"/>
    <w:rsid w:val="00BE5295"/>
    <w:rsid w:val="00BE6AB7"/>
    <w:rsid w:val="00BE6D9F"/>
    <w:rsid w:val="00BE7EA5"/>
    <w:rsid w:val="00BF1251"/>
    <w:rsid w:val="00BF1480"/>
    <w:rsid w:val="00BF23D8"/>
    <w:rsid w:val="00BF28FD"/>
    <w:rsid w:val="00BF2D07"/>
    <w:rsid w:val="00BF5AA1"/>
    <w:rsid w:val="00BF7582"/>
    <w:rsid w:val="00BF765E"/>
    <w:rsid w:val="00C00088"/>
    <w:rsid w:val="00C0143D"/>
    <w:rsid w:val="00C01857"/>
    <w:rsid w:val="00C0275C"/>
    <w:rsid w:val="00C02A55"/>
    <w:rsid w:val="00C02AF1"/>
    <w:rsid w:val="00C02F32"/>
    <w:rsid w:val="00C0311B"/>
    <w:rsid w:val="00C0483A"/>
    <w:rsid w:val="00C04B4D"/>
    <w:rsid w:val="00C0612C"/>
    <w:rsid w:val="00C07126"/>
    <w:rsid w:val="00C07562"/>
    <w:rsid w:val="00C075CB"/>
    <w:rsid w:val="00C07AA8"/>
    <w:rsid w:val="00C07B19"/>
    <w:rsid w:val="00C103F6"/>
    <w:rsid w:val="00C10779"/>
    <w:rsid w:val="00C10CC5"/>
    <w:rsid w:val="00C11C3F"/>
    <w:rsid w:val="00C11CDE"/>
    <w:rsid w:val="00C125F1"/>
    <w:rsid w:val="00C12B72"/>
    <w:rsid w:val="00C131F7"/>
    <w:rsid w:val="00C1363A"/>
    <w:rsid w:val="00C144AD"/>
    <w:rsid w:val="00C14A89"/>
    <w:rsid w:val="00C17059"/>
    <w:rsid w:val="00C177C8"/>
    <w:rsid w:val="00C2046F"/>
    <w:rsid w:val="00C20ADE"/>
    <w:rsid w:val="00C216BD"/>
    <w:rsid w:val="00C21A02"/>
    <w:rsid w:val="00C21F2E"/>
    <w:rsid w:val="00C223AD"/>
    <w:rsid w:val="00C22905"/>
    <w:rsid w:val="00C232EC"/>
    <w:rsid w:val="00C2382C"/>
    <w:rsid w:val="00C2458A"/>
    <w:rsid w:val="00C2468A"/>
    <w:rsid w:val="00C24A57"/>
    <w:rsid w:val="00C25364"/>
    <w:rsid w:val="00C25788"/>
    <w:rsid w:val="00C2639B"/>
    <w:rsid w:val="00C303D7"/>
    <w:rsid w:val="00C32D78"/>
    <w:rsid w:val="00C3418B"/>
    <w:rsid w:val="00C34E1B"/>
    <w:rsid w:val="00C3620D"/>
    <w:rsid w:val="00C374CC"/>
    <w:rsid w:val="00C40925"/>
    <w:rsid w:val="00C415EC"/>
    <w:rsid w:val="00C4247E"/>
    <w:rsid w:val="00C43717"/>
    <w:rsid w:val="00C43C18"/>
    <w:rsid w:val="00C442B9"/>
    <w:rsid w:val="00C44423"/>
    <w:rsid w:val="00C45459"/>
    <w:rsid w:val="00C45AFE"/>
    <w:rsid w:val="00C4702E"/>
    <w:rsid w:val="00C470CD"/>
    <w:rsid w:val="00C50480"/>
    <w:rsid w:val="00C50EDD"/>
    <w:rsid w:val="00C527DC"/>
    <w:rsid w:val="00C53023"/>
    <w:rsid w:val="00C533E2"/>
    <w:rsid w:val="00C53671"/>
    <w:rsid w:val="00C53D7B"/>
    <w:rsid w:val="00C54072"/>
    <w:rsid w:val="00C54BFD"/>
    <w:rsid w:val="00C5533B"/>
    <w:rsid w:val="00C55AEE"/>
    <w:rsid w:val="00C562C9"/>
    <w:rsid w:val="00C564BB"/>
    <w:rsid w:val="00C565CC"/>
    <w:rsid w:val="00C569D3"/>
    <w:rsid w:val="00C56AFA"/>
    <w:rsid w:val="00C5771E"/>
    <w:rsid w:val="00C57DDA"/>
    <w:rsid w:val="00C60022"/>
    <w:rsid w:val="00C60437"/>
    <w:rsid w:val="00C6053B"/>
    <w:rsid w:val="00C6174F"/>
    <w:rsid w:val="00C61EA0"/>
    <w:rsid w:val="00C62AF6"/>
    <w:rsid w:val="00C63972"/>
    <w:rsid w:val="00C6522B"/>
    <w:rsid w:val="00C6696C"/>
    <w:rsid w:val="00C66C40"/>
    <w:rsid w:val="00C66C64"/>
    <w:rsid w:val="00C66DC6"/>
    <w:rsid w:val="00C67000"/>
    <w:rsid w:val="00C70540"/>
    <w:rsid w:val="00C705B8"/>
    <w:rsid w:val="00C706A3"/>
    <w:rsid w:val="00C711A0"/>
    <w:rsid w:val="00C72231"/>
    <w:rsid w:val="00C72AD1"/>
    <w:rsid w:val="00C72C30"/>
    <w:rsid w:val="00C74155"/>
    <w:rsid w:val="00C74174"/>
    <w:rsid w:val="00C744C5"/>
    <w:rsid w:val="00C74FB1"/>
    <w:rsid w:val="00C75710"/>
    <w:rsid w:val="00C76031"/>
    <w:rsid w:val="00C77517"/>
    <w:rsid w:val="00C80591"/>
    <w:rsid w:val="00C8175A"/>
    <w:rsid w:val="00C8175F"/>
    <w:rsid w:val="00C81BF5"/>
    <w:rsid w:val="00C81D36"/>
    <w:rsid w:val="00C82595"/>
    <w:rsid w:val="00C82CC0"/>
    <w:rsid w:val="00C83429"/>
    <w:rsid w:val="00C83C7B"/>
    <w:rsid w:val="00C84CA4"/>
    <w:rsid w:val="00C84E3B"/>
    <w:rsid w:val="00C8612C"/>
    <w:rsid w:val="00C86AA5"/>
    <w:rsid w:val="00C873D9"/>
    <w:rsid w:val="00C87907"/>
    <w:rsid w:val="00C90333"/>
    <w:rsid w:val="00C904C4"/>
    <w:rsid w:val="00C91158"/>
    <w:rsid w:val="00C920CA"/>
    <w:rsid w:val="00C928F9"/>
    <w:rsid w:val="00C9292D"/>
    <w:rsid w:val="00C92D02"/>
    <w:rsid w:val="00C932C9"/>
    <w:rsid w:val="00C93927"/>
    <w:rsid w:val="00C93CE8"/>
    <w:rsid w:val="00C94621"/>
    <w:rsid w:val="00C9791D"/>
    <w:rsid w:val="00C97DC1"/>
    <w:rsid w:val="00CA0526"/>
    <w:rsid w:val="00CA07F2"/>
    <w:rsid w:val="00CA0BA1"/>
    <w:rsid w:val="00CA1051"/>
    <w:rsid w:val="00CA30FB"/>
    <w:rsid w:val="00CA3693"/>
    <w:rsid w:val="00CA38FF"/>
    <w:rsid w:val="00CA4195"/>
    <w:rsid w:val="00CA42C0"/>
    <w:rsid w:val="00CA4E38"/>
    <w:rsid w:val="00CA6421"/>
    <w:rsid w:val="00CA6734"/>
    <w:rsid w:val="00CA6A97"/>
    <w:rsid w:val="00CA6AFF"/>
    <w:rsid w:val="00CA7253"/>
    <w:rsid w:val="00CA7521"/>
    <w:rsid w:val="00CB050C"/>
    <w:rsid w:val="00CB0996"/>
    <w:rsid w:val="00CB13FA"/>
    <w:rsid w:val="00CB15DA"/>
    <w:rsid w:val="00CB21D0"/>
    <w:rsid w:val="00CB2539"/>
    <w:rsid w:val="00CB3138"/>
    <w:rsid w:val="00CB342E"/>
    <w:rsid w:val="00CB39DE"/>
    <w:rsid w:val="00CB4343"/>
    <w:rsid w:val="00CB452F"/>
    <w:rsid w:val="00CB4964"/>
    <w:rsid w:val="00CB4D72"/>
    <w:rsid w:val="00CB55C0"/>
    <w:rsid w:val="00CB60E6"/>
    <w:rsid w:val="00CB7BAD"/>
    <w:rsid w:val="00CC20D5"/>
    <w:rsid w:val="00CC3EBA"/>
    <w:rsid w:val="00CC43FC"/>
    <w:rsid w:val="00CC615C"/>
    <w:rsid w:val="00CC6CF0"/>
    <w:rsid w:val="00CC77D2"/>
    <w:rsid w:val="00CC7963"/>
    <w:rsid w:val="00CC7C30"/>
    <w:rsid w:val="00CD004F"/>
    <w:rsid w:val="00CD0183"/>
    <w:rsid w:val="00CD069B"/>
    <w:rsid w:val="00CD14F3"/>
    <w:rsid w:val="00CD28A0"/>
    <w:rsid w:val="00CD2C8D"/>
    <w:rsid w:val="00CD2E81"/>
    <w:rsid w:val="00CD2EAD"/>
    <w:rsid w:val="00CD31D4"/>
    <w:rsid w:val="00CD3697"/>
    <w:rsid w:val="00CD3A60"/>
    <w:rsid w:val="00CD4771"/>
    <w:rsid w:val="00CD5827"/>
    <w:rsid w:val="00CD5A2C"/>
    <w:rsid w:val="00CD69C0"/>
    <w:rsid w:val="00CD72F6"/>
    <w:rsid w:val="00CE0867"/>
    <w:rsid w:val="00CE1DF3"/>
    <w:rsid w:val="00CE30A5"/>
    <w:rsid w:val="00CE345B"/>
    <w:rsid w:val="00CE345C"/>
    <w:rsid w:val="00CE3D59"/>
    <w:rsid w:val="00CE4986"/>
    <w:rsid w:val="00CE4A9E"/>
    <w:rsid w:val="00CE4E9B"/>
    <w:rsid w:val="00CE53F1"/>
    <w:rsid w:val="00CE59C3"/>
    <w:rsid w:val="00CE632E"/>
    <w:rsid w:val="00CE69DD"/>
    <w:rsid w:val="00CE734E"/>
    <w:rsid w:val="00CE749B"/>
    <w:rsid w:val="00CE7B46"/>
    <w:rsid w:val="00CF0138"/>
    <w:rsid w:val="00CF070F"/>
    <w:rsid w:val="00CF078E"/>
    <w:rsid w:val="00CF1E0A"/>
    <w:rsid w:val="00CF32B4"/>
    <w:rsid w:val="00CF3F3F"/>
    <w:rsid w:val="00CF42D1"/>
    <w:rsid w:val="00CF5014"/>
    <w:rsid w:val="00CF5DEC"/>
    <w:rsid w:val="00CF67C0"/>
    <w:rsid w:val="00CF6F03"/>
    <w:rsid w:val="00CF7208"/>
    <w:rsid w:val="00CF7340"/>
    <w:rsid w:val="00CF75CD"/>
    <w:rsid w:val="00CF7882"/>
    <w:rsid w:val="00D008EB"/>
    <w:rsid w:val="00D00CA9"/>
    <w:rsid w:val="00D00CBA"/>
    <w:rsid w:val="00D01442"/>
    <w:rsid w:val="00D0167C"/>
    <w:rsid w:val="00D02467"/>
    <w:rsid w:val="00D0272C"/>
    <w:rsid w:val="00D02CAC"/>
    <w:rsid w:val="00D038E9"/>
    <w:rsid w:val="00D03C9D"/>
    <w:rsid w:val="00D043C0"/>
    <w:rsid w:val="00D0497A"/>
    <w:rsid w:val="00D057C1"/>
    <w:rsid w:val="00D0617E"/>
    <w:rsid w:val="00D065F8"/>
    <w:rsid w:val="00D0718D"/>
    <w:rsid w:val="00D071C4"/>
    <w:rsid w:val="00D07CA6"/>
    <w:rsid w:val="00D103DC"/>
    <w:rsid w:val="00D105C6"/>
    <w:rsid w:val="00D109E6"/>
    <w:rsid w:val="00D1103E"/>
    <w:rsid w:val="00D1166E"/>
    <w:rsid w:val="00D11D02"/>
    <w:rsid w:val="00D133A6"/>
    <w:rsid w:val="00D133BC"/>
    <w:rsid w:val="00D13D7E"/>
    <w:rsid w:val="00D13DE5"/>
    <w:rsid w:val="00D13F94"/>
    <w:rsid w:val="00D14547"/>
    <w:rsid w:val="00D1640A"/>
    <w:rsid w:val="00D17D93"/>
    <w:rsid w:val="00D17EF1"/>
    <w:rsid w:val="00D17F81"/>
    <w:rsid w:val="00D205CA"/>
    <w:rsid w:val="00D21316"/>
    <w:rsid w:val="00D221AD"/>
    <w:rsid w:val="00D22311"/>
    <w:rsid w:val="00D22A55"/>
    <w:rsid w:val="00D24817"/>
    <w:rsid w:val="00D25292"/>
    <w:rsid w:val="00D25E5D"/>
    <w:rsid w:val="00D26ADA"/>
    <w:rsid w:val="00D26EAD"/>
    <w:rsid w:val="00D27EC4"/>
    <w:rsid w:val="00D30598"/>
    <w:rsid w:val="00D30E67"/>
    <w:rsid w:val="00D31209"/>
    <w:rsid w:val="00D31504"/>
    <w:rsid w:val="00D31E54"/>
    <w:rsid w:val="00D33202"/>
    <w:rsid w:val="00D342FA"/>
    <w:rsid w:val="00D34963"/>
    <w:rsid w:val="00D35BA7"/>
    <w:rsid w:val="00D35D91"/>
    <w:rsid w:val="00D3673B"/>
    <w:rsid w:val="00D40B67"/>
    <w:rsid w:val="00D41052"/>
    <w:rsid w:val="00D41843"/>
    <w:rsid w:val="00D41B35"/>
    <w:rsid w:val="00D42483"/>
    <w:rsid w:val="00D43393"/>
    <w:rsid w:val="00D443C3"/>
    <w:rsid w:val="00D45078"/>
    <w:rsid w:val="00D451EE"/>
    <w:rsid w:val="00D4532D"/>
    <w:rsid w:val="00D45BC6"/>
    <w:rsid w:val="00D46DEF"/>
    <w:rsid w:val="00D513B1"/>
    <w:rsid w:val="00D52556"/>
    <w:rsid w:val="00D52E94"/>
    <w:rsid w:val="00D5320E"/>
    <w:rsid w:val="00D53CE6"/>
    <w:rsid w:val="00D550E2"/>
    <w:rsid w:val="00D55222"/>
    <w:rsid w:val="00D552B0"/>
    <w:rsid w:val="00D562E4"/>
    <w:rsid w:val="00D56325"/>
    <w:rsid w:val="00D56E90"/>
    <w:rsid w:val="00D574F7"/>
    <w:rsid w:val="00D579E5"/>
    <w:rsid w:val="00D57C47"/>
    <w:rsid w:val="00D60AF3"/>
    <w:rsid w:val="00D60FA7"/>
    <w:rsid w:val="00D61864"/>
    <w:rsid w:val="00D62038"/>
    <w:rsid w:val="00D62661"/>
    <w:rsid w:val="00D62C71"/>
    <w:rsid w:val="00D63B4F"/>
    <w:rsid w:val="00D63C61"/>
    <w:rsid w:val="00D663C4"/>
    <w:rsid w:val="00D66B29"/>
    <w:rsid w:val="00D70355"/>
    <w:rsid w:val="00D713DE"/>
    <w:rsid w:val="00D71624"/>
    <w:rsid w:val="00D71BB8"/>
    <w:rsid w:val="00D72D56"/>
    <w:rsid w:val="00D732A7"/>
    <w:rsid w:val="00D73BDC"/>
    <w:rsid w:val="00D75088"/>
    <w:rsid w:val="00D76652"/>
    <w:rsid w:val="00D7709B"/>
    <w:rsid w:val="00D7741B"/>
    <w:rsid w:val="00D776D5"/>
    <w:rsid w:val="00D77AD4"/>
    <w:rsid w:val="00D77C29"/>
    <w:rsid w:val="00D80197"/>
    <w:rsid w:val="00D8109E"/>
    <w:rsid w:val="00D810B7"/>
    <w:rsid w:val="00D81101"/>
    <w:rsid w:val="00D81A4E"/>
    <w:rsid w:val="00D828B8"/>
    <w:rsid w:val="00D839FA"/>
    <w:rsid w:val="00D83D0A"/>
    <w:rsid w:val="00D844BD"/>
    <w:rsid w:val="00D8547B"/>
    <w:rsid w:val="00D85A45"/>
    <w:rsid w:val="00D85B8C"/>
    <w:rsid w:val="00D85E78"/>
    <w:rsid w:val="00D862F4"/>
    <w:rsid w:val="00D865D8"/>
    <w:rsid w:val="00D87055"/>
    <w:rsid w:val="00D9152E"/>
    <w:rsid w:val="00D93111"/>
    <w:rsid w:val="00D935C2"/>
    <w:rsid w:val="00D93656"/>
    <w:rsid w:val="00D93FF2"/>
    <w:rsid w:val="00D9402A"/>
    <w:rsid w:val="00D947A3"/>
    <w:rsid w:val="00D94BBF"/>
    <w:rsid w:val="00D94F75"/>
    <w:rsid w:val="00D9510A"/>
    <w:rsid w:val="00D95331"/>
    <w:rsid w:val="00D955F1"/>
    <w:rsid w:val="00D95658"/>
    <w:rsid w:val="00D975C6"/>
    <w:rsid w:val="00DA0760"/>
    <w:rsid w:val="00DA0803"/>
    <w:rsid w:val="00DA1949"/>
    <w:rsid w:val="00DA28DF"/>
    <w:rsid w:val="00DA3193"/>
    <w:rsid w:val="00DA5467"/>
    <w:rsid w:val="00DA6F5E"/>
    <w:rsid w:val="00DB0DB4"/>
    <w:rsid w:val="00DB1452"/>
    <w:rsid w:val="00DB15FA"/>
    <w:rsid w:val="00DB36C6"/>
    <w:rsid w:val="00DB4263"/>
    <w:rsid w:val="00DB4A23"/>
    <w:rsid w:val="00DB5534"/>
    <w:rsid w:val="00DB6520"/>
    <w:rsid w:val="00DB75DC"/>
    <w:rsid w:val="00DB7EED"/>
    <w:rsid w:val="00DC01EE"/>
    <w:rsid w:val="00DC0290"/>
    <w:rsid w:val="00DC0FEB"/>
    <w:rsid w:val="00DC1749"/>
    <w:rsid w:val="00DC18E0"/>
    <w:rsid w:val="00DC1D15"/>
    <w:rsid w:val="00DC2A17"/>
    <w:rsid w:val="00DC3130"/>
    <w:rsid w:val="00DC3F62"/>
    <w:rsid w:val="00DC4989"/>
    <w:rsid w:val="00DC6003"/>
    <w:rsid w:val="00DC61CE"/>
    <w:rsid w:val="00DC6343"/>
    <w:rsid w:val="00DC6954"/>
    <w:rsid w:val="00DC6D9F"/>
    <w:rsid w:val="00DD0143"/>
    <w:rsid w:val="00DD0741"/>
    <w:rsid w:val="00DD10CB"/>
    <w:rsid w:val="00DD1589"/>
    <w:rsid w:val="00DD3F6C"/>
    <w:rsid w:val="00DD411D"/>
    <w:rsid w:val="00DD5283"/>
    <w:rsid w:val="00DD590C"/>
    <w:rsid w:val="00DD6B51"/>
    <w:rsid w:val="00DD7086"/>
    <w:rsid w:val="00DD709D"/>
    <w:rsid w:val="00DD74AB"/>
    <w:rsid w:val="00DE0071"/>
    <w:rsid w:val="00DE04CB"/>
    <w:rsid w:val="00DE3856"/>
    <w:rsid w:val="00DE3FB6"/>
    <w:rsid w:val="00DE5226"/>
    <w:rsid w:val="00DE552F"/>
    <w:rsid w:val="00DE5971"/>
    <w:rsid w:val="00DE5B28"/>
    <w:rsid w:val="00DE5C90"/>
    <w:rsid w:val="00DE5DB0"/>
    <w:rsid w:val="00DE693A"/>
    <w:rsid w:val="00DE6AA4"/>
    <w:rsid w:val="00DE720D"/>
    <w:rsid w:val="00DE7352"/>
    <w:rsid w:val="00DF065D"/>
    <w:rsid w:val="00DF06BC"/>
    <w:rsid w:val="00DF0FE2"/>
    <w:rsid w:val="00DF173A"/>
    <w:rsid w:val="00DF1A94"/>
    <w:rsid w:val="00DF1AA2"/>
    <w:rsid w:val="00DF1EE4"/>
    <w:rsid w:val="00DF41EE"/>
    <w:rsid w:val="00DF6FC2"/>
    <w:rsid w:val="00E00D25"/>
    <w:rsid w:val="00E010B0"/>
    <w:rsid w:val="00E026F3"/>
    <w:rsid w:val="00E02921"/>
    <w:rsid w:val="00E02BC1"/>
    <w:rsid w:val="00E02E66"/>
    <w:rsid w:val="00E0339C"/>
    <w:rsid w:val="00E03C36"/>
    <w:rsid w:val="00E03E94"/>
    <w:rsid w:val="00E04470"/>
    <w:rsid w:val="00E04665"/>
    <w:rsid w:val="00E051CB"/>
    <w:rsid w:val="00E052F4"/>
    <w:rsid w:val="00E05BD5"/>
    <w:rsid w:val="00E05D79"/>
    <w:rsid w:val="00E0664D"/>
    <w:rsid w:val="00E066FE"/>
    <w:rsid w:val="00E07527"/>
    <w:rsid w:val="00E07579"/>
    <w:rsid w:val="00E14205"/>
    <w:rsid w:val="00E145A7"/>
    <w:rsid w:val="00E14946"/>
    <w:rsid w:val="00E15457"/>
    <w:rsid w:val="00E16C17"/>
    <w:rsid w:val="00E1724E"/>
    <w:rsid w:val="00E177E0"/>
    <w:rsid w:val="00E2051F"/>
    <w:rsid w:val="00E20D9B"/>
    <w:rsid w:val="00E2136E"/>
    <w:rsid w:val="00E219B4"/>
    <w:rsid w:val="00E21CDE"/>
    <w:rsid w:val="00E21E95"/>
    <w:rsid w:val="00E23B95"/>
    <w:rsid w:val="00E257DF"/>
    <w:rsid w:val="00E2700B"/>
    <w:rsid w:val="00E2761B"/>
    <w:rsid w:val="00E27DAF"/>
    <w:rsid w:val="00E31EAD"/>
    <w:rsid w:val="00E32535"/>
    <w:rsid w:val="00E326F5"/>
    <w:rsid w:val="00E326FD"/>
    <w:rsid w:val="00E32968"/>
    <w:rsid w:val="00E32F3D"/>
    <w:rsid w:val="00E32FDF"/>
    <w:rsid w:val="00E33258"/>
    <w:rsid w:val="00E3349B"/>
    <w:rsid w:val="00E339AC"/>
    <w:rsid w:val="00E339DE"/>
    <w:rsid w:val="00E34804"/>
    <w:rsid w:val="00E35B6E"/>
    <w:rsid w:val="00E37AD0"/>
    <w:rsid w:val="00E404F1"/>
    <w:rsid w:val="00E40B41"/>
    <w:rsid w:val="00E413BF"/>
    <w:rsid w:val="00E41994"/>
    <w:rsid w:val="00E41AB2"/>
    <w:rsid w:val="00E43651"/>
    <w:rsid w:val="00E43DE9"/>
    <w:rsid w:val="00E4418D"/>
    <w:rsid w:val="00E4474C"/>
    <w:rsid w:val="00E45FA8"/>
    <w:rsid w:val="00E45FC3"/>
    <w:rsid w:val="00E461BA"/>
    <w:rsid w:val="00E463B9"/>
    <w:rsid w:val="00E4751C"/>
    <w:rsid w:val="00E47857"/>
    <w:rsid w:val="00E50781"/>
    <w:rsid w:val="00E50839"/>
    <w:rsid w:val="00E51684"/>
    <w:rsid w:val="00E534E8"/>
    <w:rsid w:val="00E536AD"/>
    <w:rsid w:val="00E53D72"/>
    <w:rsid w:val="00E53DD8"/>
    <w:rsid w:val="00E54312"/>
    <w:rsid w:val="00E5474B"/>
    <w:rsid w:val="00E54914"/>
    <w:rsid w:val="00E54A1D"/>
    <w:rsid w:val="00E55B64"/>
    <w:rsid w:val="00E565AF"/>
    <w:rsid w:val="00E56D5A"/>
    <w:rsid w:val="00E57848"/>
    <w:rsid w:val="00E6036F"/>
    <w:rsid w:val="00E62F61"/>
    <w:rsid w:val="00E64644"/>
    <w:rsid w:val="00E64BF7"/>
    <w:rsid w:val="00E64FA2"/>
    <w:rsid w:val="00E6500E"/>
    <w:rsid w:val="00E65FD4"/>
    <w:rsid w:val="00E66A05"/>
    <w:rsid w:val="00E66D49"/>
    <w:rsid w:val="00E679D6"/>
    <w:rsid w:val="00E700BA"/>
    <w:rsid w:val="00E70DD9"/>
    <w:rsid w:val="00E7192F"/>
    <w:rsid w:val="00E7204C"/>
    <w:rsid w:val="00E720B6"/>
    <w:rsid w:val="00E72721"/>
    <w:rsid w:val="00E72B1D"/>
    <w:rsid w:val="00E72BD3"/>
    <w:rsid w:val="00E72ED7"/>
    <w:rsid w:val="00E73347"/>
    <w:rsid w:val="00E73C9E"/>
    <w:rsid w:val="00E73F07"/>
    <w:rsid w:val="00E7470E"/>
    <w:rsid w:val="00E74799"/>
    <w:rsid w:val="00E749A8"/>
    <w:rsid w:val="00E74DED"/>
    <w:rsid w:val="00E751D6"/>
    <w:rsid w:val="00E7545B"/>
    <w:rsid w:val="00E75B82"/>
    <w:rsid w:val="00E76687"/>
    <w:rsid w:val="00E7677A"/>
    <w:rsid w:val="00E76ECF"/>
    <w:rsid w:val="00E7764C"/>
    <w:rsid w:val="00E8040C"/>
    <w:rsid w:val="00E80B87"/>
    <w:rsid w:val="00E8184B"/>
    <w:rsid w:val="00E81A06"/>
    <w:rsid w:val="00E8277B"/>
    <w:rsid w:val="00E82881"/>
    <w:rsid w:val="00E829A0"/>
    <w:rsid w:val="00E82AEA"/>
    <w:rsid w:val="00E838DF"/>
    <w:rsid w:val="00E842AA"/>
    <w:rsid w:val="00E84667"/>
    <w:rsid w:val="00E84B77"/>
    <w:rsid w:val="00E84D3E"/>
    <w:rsid w:val="00E85361"/>
    <w:rsid w:val="00E8602B"/>
    <w:rsid w:val="00E8698B"/>
    <w:rsid w:val="00E87380"/>
    <w:rsid w:val="00E87945"/>
    <w:rsid w:val="00E87E04"/>
    <w:rsid w:val="00E87EAE"/>
    <w:rsid w:val="00E9091E"/>
    <w:rsid w:val="00E90BCE"/>
    <w:rsid w:val="00E90F11"/>
    <w:rsid w:val="00E91253"/>
    <w:rsid w:val="00E92D3C"/>
    <w:rsid w:val="00E933C9"/>
    <w:rsid w:val="00E93AD9"/>
    <w:rsid w:val="00E9565D"/>
    <w:rsid w:val="00E95A32"/>
    <w:rsid w:val="00E95A37"/>
    <w:rsid w:val="00E96286"/>
    <w:rsid w:val="00E965BB"/>
    <w:rsid w:val="00E967FD"/>
    <w:rsid w:val="00E96A10"/>
    <w:rsid w:val="00E96D9A"/>
    <w:rsid w:val="00E96EAB"/>
    <w:rsid w:val="00E97383"/>
    <w:rsid w:val="00EA026C"/>
    <w:rsid w:val="00EA13AF"/>
    <w:rsid w:val="00EA3941"/>
    <w:rsid w:val="00EA3E3E"/>
    <w:rsid w:val="00EA4112"/>
    <w:rsid w:val="00EA487E"/>
    <w:rsid w:val="00EA5FF8"/>
    <w:rsid w:val="00EA6A8C"/>
    <w:rsid w:val="00EA74B8"/>
    <w:rsid w:val="00EA7F49"/>
    <w:rsid w:val="00EB210A"/>
    <w:rsid w:val="00EB272C"/>
    <w:rsid w:val="00EB2902"/>
    <w:rsid w:val="00EB320B"/>
    <w:rsid w:val="00EB3AF4"/>
    <w:rsid w:val="00EB3D9B"/>
    <w:rsid w:val="00EB40F6"/>
    <w:rsid w:val="00EB4D1B"/>
    <w:rsid w:val="00EB50CD"/>
    <w:rsid w:val="00EB5236"/>
    <w:rsid w:val="00EB6845"/>
    <w:rsid w:val="00EC0E3E"/>
    <w:rsid w:val="00EC191E"/>
    <w:rsid w:val="00EC22C0"/>
    <w:rsid w:val="00EC2444"/>
    <w:rsid w:val="00EC374E"/>
    <w:rsid w:val="00EC3B93"/>
    <w:rsid w:val="00EC4726"/>
    <w:rsid w:val="00EC5232"/>
    <w:rsid w:val="00EC5513"/>
    <w:rsid w:val="00EC5591"/>
    <w:rsid w:val="00EC5796"/>
    <w:rsid w:val="00EC5B23"/>
    <w:rsid w:val="00EC5BB4"/>
    <w:rsid w:val="00EC5E2C"/>
    <w:rsid w:val="00EC5F3E"/>
    <w:rsid w:val="00EC666A"/>
    <w:rsid w:val="00EC6931"/>
    <w:rsid w:val="00EC713E"/>
    <w:rsid w:val="00ED03FD"/>
    <w:rsid w:val="00ED1BBB"/>
    <w:rsid w:val="00ED2937"/>
    <w:rsid w:val="00ED36F2"/>
    <w:rsid w:val="00ED3F42"/>
    <w:rsid w:val="00ED4270"/>
    <w:rsid w:val="00ED44A5"/>
    <w:rsid w:val="00ED5B65"/>
    <w:rsid w:val="00ED5B92"/>
    <w:rsid w:val="00ED5CB1"/>
    <w:rsid w:val="00ED5E5D"/>
    <w:rsid w:val="00ED5F6B"/>
    <w:rsid w:val="00ED6313"/>
    <w:rsid w:val="00ED69FA"/>
    <w:rsid w:val="00ED77F6"/>
    <w:rsid w:val="00EE0013"/>
    <w:rsid w:val="00EE0434"/>
    <w:rsid w:val="00EE1062"/>
    <w:rsid w:val="00EE14D2"/>
    <w:rsid w:val="00EE1EA8"/>
    <w:rsid w:val="00EE23CC"/>
    <w:rsid w:val="00EE328D"/>
    <w:rsid w:val="00EE32FE"/>
    <w:rsid w:val="00EE492E"/>
    <w:rsid w:val="00EE5A81"/>
    <w:rsid w:val="00EE6791"/>
    <w:rsid w:val="00EE6838"/>
    <w:rsid w:val="00EE76E0"/>
    <w:rsid w:val="00EE7781"/>
    <w:rsid w:val="00EE7829"/>
    <w:rsid w:val="00EF0B7C"/>
    <w:rsid w:val="00EF1AA6"/>
    <w:rsid w:val="00EF1B2D"/>
    <w:rsid w:val="00EF1B8B"/>
    <w:rsid w:val="00EF2287"/>
    <w:rsid w:val="00EF27DE"/>
    <w:rsid w:val="00EF281F"/>
    <w:rsid w:val="00EF2F86"/>
    <w:rsid w:val="00EF32D6"/>
    <w:rsid w:val="00EF367B"/>
    <w:rsid w:val="00EF422D"/>
    <w:rsid w:val="00EF4534"/>
    <w:rsid w:val="00EF4FBE"/>
    <w:rsid w:val="00EF541D"/>
    <w:rsid w:val="00EF6292"/>
    <w:rsid w:val="00EF643A"/>
    <w:rsid w:val="00EF7158"/>
    <w:rsid w:val="00F004C4"/>
    <w:rsid w:val="00F00690"/>
    <w:rsid w:val="00F007AE"/>
    <w:rsid w:val="00F00D9A"/>
    <w:rsid w:val="00F02282"/>
    <w:rsid w:val="00F0314B"/>
    <w:rsid w:val="00F04134"/>
    <w:rsid w:val="00F04366"/>
    <w:rsid w:val="00F04821"/>
    <w:rsid w:val="00F04961"/>
    <w:rsid w:val="00F05D7D"/>
    <w:rsid w:val="00F06DFA"/>
    <w:rsid w:val="00F11141"/>
    <w:rsid w:val="00F114B5"/>
    <w:rsid w:val="00F117D5"/>
    <w:rsid w:val="00F11A1B"/>
    <w:rsid w:val="00F11FDA"/>
    <w:rsid w:val="00F12098"/>
    <w:rsid w:val="00F13975"/>
    <w:rsid w:val="00F13D51"/>
    <w:rsid w:val="00F159E0"/>
    <w:rsid w:val="00F15F01"/>
    <w:rsid w:val="00F16A58"/>
    <w:rsid w:val="00F17EE6"/>
    <w:rsid w:val="00F203DB"/>
    <w:rsid w:val="00F20669"/>
    <w:rsid w:val="00F21239"/>
    <w:rsid w:val="00F22582"/>
    <w:rsid w:val="00F2335D"/>
    <w:rsid w:val="00F23820"/>
    <w:rsid w:val="00F23F9E"/>
    <w:rsid w:val="00F2501A"/>
    <w:rsid w:val="00F27846"/>
    <w:rsid w:val="00F27B07"/>
    <w:rsid w:val="00F27B33"/>
    <w:rsid w:val="00F307DF"/>
    <w:rsid w:val="00F31F85"/>
    <w:rsid w:val="00F32500"/>
    <w:rsid w:val="00F32A71"/>
    <w:rsid w:val="00F33996"/>
    <w:rsid w:val="00F34F22"/>
    <w:rsid w:val="00F35BEE"/>
    <w:rsid w:val="00F37372"/>
    <w:rsid w:val="00F37B4A"/>
    <w:rsid w:val="00F37EB3"/>
    <w:rsid w:val="00F411CD"/>
    <w:rsid w:val="00F41DE2"/>
    <w:rsid w:val="00F432D8"/>
    <w:rsid w:val="00F44050"/>
    <w:rsid w:val="00F44B4F"/>
    <w:rsid w:val="00F45F18"/>
    <w:rsid w:val="00F46A87"/>
    <w:rsid w:val="00F46D3F"/>
    <w:rsid w:val="00F472D1"/>
    <w:rsid w:val="00F4750F"/>
    <w:rsid w:val="00F504D6"/>
    <w:rsid w:val="00F50770"/>
    <w:rsid w:val="00F50793"/>
    <w:rsid w:val="00F52A36"/>
    <w:rsid w:val="00F52A3D"/>
    <w:rsid w:val="00F52F53"/>
    <w:rsid w:val="00F53264"/>
    <w:rsid w:val="00F5414A"/>
    <w:rsid w:val="00F554EF"/>
    <w:rsid w:val="00F55918"/>
    <w:rsid w:val="00F575CD"/>
    <w:rsid w:val="00F6009D"/>
    <w:rsid w:val="00F605CF"/>
    <w:rsid w:val="00F60BD2"/>
    <w:rsid w:val="00F613BD"/>
    <w:rsid w:val="00F62800"/>
    <w:rsid w:val="00F62CC2"/>
    <w:rsid w:val="00F62EBB"/>
    <w:rsid w:val="00F631A8"/>
    <w:rsid w:val="00F6672D"/>
    <w:rsid w:val="00F66CD5"/>
    <w:rsid w:val="00F66E14"/>
    <w:rsid w:val="00F6775D"/>
    <w:rsid w:val="00F67F93"/>
    <w:rsid w:val="00F734A2"/>
    <w:rsid w:val="00F74F47"/>
    <w:rsid w:val="00F76409"/>
    <w:rsid w:val="00F764A4"/>
    <w:rsid w:val="00F77E7A"/>
    <w:rsid w:val="00F80A51"/>
    <w:rsid w:val="00F80F1A"/>
    <w:rsid w:val="00F80F70"/>
    <w:rsid w:val="00F81769"/>
    <w:rsid w:val="00F82F05"/>
    <w:rsid w:val="00F84879"/>
    <w:rsid w:val="00F84B93"/>
    <w:rsid w:val="00F851D7"/>
    <w:rsid w:val="00F8543F"/>
    <w:rsid w:val="00F85C63"/>
    <w:rsid w:val="00F863B2"/>
    <w:rsid w:val="00F86952"/>
    <w:rsid w:val="00F8742A"/>
    <w:rsid w:val="00F90FC4"/>
    <w:rsid w:val="00F91133"/>
    <w:rsid w:val="00F915F7"/>
    <w:rsid w:val="00F91D90"/>
    <w:rsid w:val="00F91FBC"/>
    <w:rsid w:val="00F930F3"/>
    <w:rsid w:val="00F93EC4"/>
    <w:rsid w:val="00F946E0"/>
    <w:rsid w:val="00F94B1D"/>
    <w:rsid w:val="00F96049"/>
    <w:rsid w:val="00F962A1"/>
    <w:rsid w:val="00F96C31"/>
    <w:rsid w:val="00F96CEF"/>
    <w:rsid w:val="00F9763C"/>
    <w:rsid w:val="00FA1216"/>
    <w:rsid w:val="00FA14E6"/>
    <w:rsid w:val="00FA2935"/>
    <w:rsid w:val="00FA3589"/>
    <w:rsid w:val="00FA3F5B"/>
    <w:rsid w:val="00FA43BC"/>
    <w:rsid w:val="00FA4845"/>
    <w:rsid w:val="00FA4F95"/>
    <w:rsid w:val="00FA5428"/>
    <w:rsid w:val="00FA6188"/>
    <w:rsid w:val="00FA6381"/>
    <w:rsid w:val="00FA7F02"/>
    <w:rsid w:val="00FB30CF"/>
    <w:rsid w:val="00FB4172"/>
    <w:rsid w:val="00FB485B"/>
    <w:rsid w:val="00FB4DF6"/>
    <w:rsid w:val="00FB5B1A"/>
    <w:rsid w:val="00FB6729"/>
    <w:rsid w:val="00FB6F5D"/>
    <w:rsid w:val="00FB7DDF"/>
    <w:rsid w:val="00FC045C"/>
    <w:rsid w:val="00FC0774"/>
    <w:rsid w:val="00FC0F9C"/>
    <w:rsid w:val="00FC1D25"/>
    <w:rsid w:val="00FC279F"/>
    <w:rsid w:val="00FC2BC4"/>
    <w:rsid w:val="00FC5CBF"/>
    <w:rsid w:val="00FC61D9"/>
    <w:rsid w:val="00FC6223"/>
    <w:rsid w:val="00FC6992"/>
    <w:rsid w:val="00FC7036"/>
    <w:rsid w:val="00FC73E4"/>
    <w:rsid w:val="00FC79B3"/>
    <w:rsid w:val="00FC7B53"/>
    <w:rsid w:val="00FD09BA"/>
    <w:rsid w:val="00FD1234"/>
    <w:rsid w:val="00FD2CC4"/>
    <w:rsid w:val="00FD347E"/>
    <w:rsid w:val="00FD416A"/>
    <w:rsid w:val="00FD489E"/>
    <w:rsid w:val="00FD4FF0"/>
    <w:rsid w:val="00FD54DB"/>
    <w:rsid w:val="00FD55B2"/>
    <w:rsid w:val="00FD6485"/>
    <w:rsid w:val="00FD6A88"/>
    <w:rsid w:val="00FD7910"/>
    <w:rsid w:val="00FD7DAA"/>
    <w:rsid w:val="00FE000B"/>
    <w:rsid w:val="00FE02F9"/>
    <w:rsid w:val="00FE059B"/>
    <w:rsid w:val="00FE12BE"/>
    <w:rsid w:val="00FE1A08"/>
    <w:rsid w:val="00FE21B5"/>
    <w:rsid w:val="00FE23AD"/>
    <w:rsid w:val="00FE2974"/>
    <w:rsid w:val="00FE29E4"/>
    <w:rsid w:val="00FE33AE"/>
    <w:rsid w:val="00FE3657"/>
    <w:rsid w:val="00FE3A92"/>
    <w:rsid w:val="00FE4677"/>
    <w:rsid w:val="00FE4A21"/>
    <w:rsid w:val="00FE6125"/>
    <w:rsid w:val="00FE6E5B"/>
    <w:rsid w:val="00FE74FF"/>
    <w:rsid w:val="00FE781D"/>
    <w:rsid w:val="00FE7C4E"/>
    <w:rsid w:val="00FF04B4"/>
    <w:rsid w:val="00FF0C87"/>
    <w:rsid w:val="00FF1127"/>
    <w:rsid w:val="00FF2297"/>
    <w:rsid w:val="00FF25F3"/>
    <w:rsid w:val="00FF2842"/>
    <w:rsid w:val="00FF2858"/>
    <w:rsid w:val="00FF2CB1"/>
    <w:rsid w:val="00FF2F62"/>
    <w:rsid w:val="00FF3370"/>
    <w:rsid w:val="00FF3DB9"/>
    <w:rsid w:val="00FF4E71"/>
    <w:rsid w:val="00FF4F7A"/>
    <w:rsid w:val="00FF53D6"/>
    <w:rsid w:val="00FF5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E49A8"/>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33FD"/>
    <w:pPr>
      <w:tabs>
        <w:tab w:val="center" w:pos="4680"/>
        <w:tab w:val="right" w:pos="9360"/>
      </w:tabs>
      <w:spacing w:line="240" w:lineRule="auto"/>
    </w:pPr>
  </w:style>
  <w:style w:type="character" w:customStyle="1" w:styleId="HeaderChar">
    <w:name w:val="Header Char"/>
    <w:basedOn w:val="DefaultParagraphFont"/>
    <w:link w:val="Header"/>
    <w:uiPriority w:val="99"/>
    <w:rsid w:val="00A133FD"/>
  </w:style>
  <w:style w:type="paragraph" w:styleId="Footer">
    <w:name w:val="footer"/>
    <w:basedOn w:val="Normal"/>
    <w:link w:val="FooterChar"/>
    <w:uiPriority w:val="99"/>
    <w:unhideWhenUsed/>
    <w:rsid w:val="00A133FD"/>
    <w:pPr>
      <w:tabs>
        <w:tab w:val="center" w:pos="4680"/>
        <w:tab w:val="right" w:pos="9360"/>
      </w:tabs>
      <w:spacing w:line="240" w:lineRule="auto"/>
    </w:pPr>
  </w:style>
  <w:style w:type="character" w:customStyle="1" w:styleId="FooterChar">
    <w:name w:val="Footer Char"/>
    <w:basedOn w:val="DefaultParagraphFont"/>
    <w:link w:val="Footer"/>
    <w:uiPriority w:val="99"/>
    <w:rsid w:val="00A133FD"/>
  </w:style>
  <w:style w:type="paragraph" w:styleId="ListParagraph">
    <w:name w:val="List Paragraph"/>
    <w:basedOn w:val="Normal"/>
    <w:uiPriority w:val="34"/>
    <w:qFormat/>
    <w:rsid w:val="00A133FD"/>
    <w:pPr>
      <w:ind w:left="720"/>
      <w:contextualSpacing/>
    </w:pPr>
  </w:style>
  <w:style w:type="paragraph" w:styleId="BalloonText">
    <w:name w:val="Balloon Text"/>
    <w:basedOn w:val="Normal"/>
    <w:link w:val="BalloonTextChar"/>
    <w:uiPriority w:val="99"/>
    <w:semiHidden/>
    <w:unhideWhenUsed/>
    <w:rsid w:val="00D77C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C29"/>
    <w:rPr>
      <w:rFonts w:ascii="Tahoma" w:hAnsi="Tahoma" w:cs="Tahoma"/>
      <w:sz w:val="16"/>
      <w:szCs w:val="16"/>
    </w:rPr>
  </w:style>
  <w:style w:type="table" w:styleId="TableGrid">
    <w:name w:val="Table Grid"/>
    <w:basedOn w:val="TableNormal"/>
    <w:uiPriority w:val="59"/>
    <w:rsid w:val="008D2F7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02DAF"/>
    <w:rPr>
      <w:b/>
      <w:bCs/>
    </w:rPr>
  </w:style>
  <w:style w:type="character" w:styleId="Hyperlink">
    <w:name w:val="Hyperlink"/>
    <w:basedOn w:val="DefaultParagraphFont"/>
    <w:uiPriority w:val="99"/>
    <w:unhideWhenUsed/>
    <w:rsid w:val="00802DAF"/>
    <w:rPr>
      <w:color w:val="0000FF" w:themeColor="hyperlink"/>
      <w:u w:val="single"/>
    </w:rPr>
  </w:style>
  <w:style w:type="table" w:styleId="MediumList2-Accent1">
    <w:name w:val="Medium List 2 Accent 1"/>
    <w:basedOn w:val="TableNormal"/>
    <w:uiPriority w:val="66"/>
    <w:rsid w:val="005512C6"/>
    <w:pPr>
      <w:spacing w:line="240" w:lineRule="auto"/>
      <w:ind w:firstLine="0"/>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2328C7"/>
    <w:rPr>
      <w:sz w:val="16"/>
      <w:szCs w:val="16"/>
    </w:rPr>
  </w:style>
  <w:style w:type="paragraph" w:styleId="CommentText">
    <w:name w:val="annotation text"/>
    <w:basedOn w:val="Normal"/>
    <w:link w:val="CommentTextChar"/>
    <w:uiPriority w:val="99"/>
    <w:unhideWhenUsed/>
    <w:rsid w:val="002328C7"/>
    <w:pPr>
      <w:spacing w:line="240" w:lineRule="auto"/>
    </w:pPr>
    <w:rPr>
      <w:sz w:val="20"/>
      <w:szCs w:val="20"/>
    </w:rPr>
  </w:style>
  <w:style w:type="character" w:customStyle="1" w:styleId="CommentTextChar">
    <w:name w:val="Comment Text Char"/>
    <w:basedOn w:val="DefaultParagraphFont"/>
    <w:link w:val="CommentText"/>
    <w:uiPriority w:val="99"/>
    <w:rsid w:val="002328C7"/>
    <w:rPr>
      <w:sz w:val="20"/>
      <w:szCs w:val="20"/>
    </w:rPr>
  </w:style>
  <w:style w:type="paragraph" w:styleId="CommentSubject">
    <w:name w:val="annotation subject"/>
    <w:basedOn w:val="CommentText"/>
    <w:next w:val="CommentText"/>
    <w:link w:val="CommentSubjectChar"/>
    <w:uiPriority w:val="99"/>
    <w:semiHidden/>
    <w:unhideWhenUsed/>
    <w:rsid w:val="002328C7"/>
    <w:rPr>
      <w:b/>
      <w:bCs/>
    </w:rPr>
  </w:style>
  <w:style w:type="character" w:customStyle="1" w:styleId="CommentSubjectChar">
    <w:name w:val="Comment Subject Char"/>
    <w:basedOn w:val="CommentTextChar"/>
    <w:link w:val="CommentSubject"/>
    <w:uiPriority w:val="99"/>
    <w:semiHidden/>
    <w:rsid w:val="002328C7"/>
    <w:rPr>
      <w:b/>
      <w:bCs/>
      <w:sz w:val="20"/>
      <w:szCs w:val="20"/>
    </w:rPr>
  </w:style>
  <w:style w:type="paragraph" w:styleId="Revision">
    <w:name w:val="Revision"/>
    <w:hidden/>
    <w:uiPriority w:val="99"/>
    <w:semiHidden/>
    <w:rsid w:val="006A3A21"/>
    <w:pPr>
      <w:spacing w:line="240" w:lineRule="auto"/>
      <w:ind w:firstLine="0"/>
    </w:pPr>
  </w:style>
  <w:style w:type="paragraph" w:customStyle="1" w:styleId="Default">
    <w:name w:val="Default"/>
    <w:rsid w:val="00F44050"/>
    <w:pPr>
      <w:autoSpaceDE w:val="0"/>
      <w:autoSpaceDN w:val="0"/>
      <w:adjustRightInd w:val="0"/>
      <w:spacing w:line="240" w:lineRule="auto"/>
      <w:ind w:firstLine="0"/>
    </w:pPr>
    <w:rPr>
      <w:rFonts w:ascii="Times New Roman" w:hAnsi="Times New Roman" w:cs="Times New Roman"/>
      <w:color w:val="000000"/>
      <w:sz w:val="24"/>
      <w:szCs w:val="24"/>
    </w:rPr>
  </w:style>
  <w:style w:type="character" w:customStyle="1" w:styleId="threedigitcodelistdescription">
    <w:name w:val="threedigitcodelistdescription"/>
    <w:basedOn w:val="DefaultParagraphFont"/>
    <w:rsid w:val="00765886"/>
  </w:style>
  <w:style w:type="character" w:customStyle="1" w:styleId="acknowledgements">
    <w:name w:val="acknowledgements"/>
    <w:basedOn w:val="DefaultParagraphFont"/>
    <w:rsid w:val="009733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E49A8"/>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33FD"/>
    <w:pPr>
      <w:tabs>
        <w:tab w:val="center" w:pos="4680"/>
        <w:tab w:val="right" w:pos="9360"/>
      </w:tabs>
      <w:spacing w:line="240" w:lineRule="auto"/>
    </w:pPr>
  </w:style>
  <w:style w:type="character" w:customStyle="1" w:styleId="HeaderChar">
    <w:name w:val="Header Char"/>
    <w:basedOn w:val="DefaultParagraphFont"/>
    <w:link w:val="Header"/>
    <w:uiPriority w:val="99"/>
    <w:rsid w:val="00A133FD"/>
  </w:style>
  <w:style w:type="paragraph" w:styleId="Footer">
    <w:name w:val="footer"/>
    <w:basedOn w:val="Normal"/>
    <w:link w:val="FooterChar"/>
    <w:uiPriority w:val="99"/>
    <w:unhideWhenUsed/>
    <w:rsid w:val="00A133FD"/>
    <w:pPr>
      <w:tabs>
        <w:tab w:val="center" w:pos="4680"/>
        <w:tab w:val="right" w:pos="9360"/>
      </w:tabs>
      <w:spacing w:line="240" w:lineRule="auto"/>
    </w:pPr>
  </w:style>
  <w:style w:type="character" w:customStyle="1" w:styleId="FooterChar">
    <w:name w:val="Footer Char"/>
    <w:basedOn w:val="DefaultParagraphFont"/>
    <w:link w:val="Footer"/>
    <w:uiPriority w:val="99"/>
    <w:rsid w:val="00A133FD"/>
  </w:style>
  <w:style w:type="paragraph" w:styleId="ListParagraph">
    <w:name w:val="List Paragraph"/>
    <w:basedOn w:val="Normal"/>
    <w:uiPriority w:val="34"/>
    <w:qFormat/>
    <w:rsid w:val="00A133FD"/>
    <w:pPr>
      <w:ind w:left="720"/>
      <w:contextualSpacing/>
    </w:pPr>
  </w:style>
  <w:style w:type="paragraph" w:styleId="BalloonText">
    <w:name w:val="Balloon Text"/>
    <w:basedOn w:val="Normal"/>
    <w:link w:val="BalloonTextChar"/>
    <w:uiPriority w:val="99"/>
    <w:semiHidden/>
    <w:unhideWhenUsed/>
    <w:rsid w:val="00D77C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C29"/>
    <w:rPr>
      <w:rFonts w:ascii="Tahoma" w:hAnsi="Tahoma" w:cs="Tahoma"/>
      <w:sz w:val="16"/>
      <w:szCs w:val="16"/>
    </w:rPr>
  </w:style>
  <w:style w:type="table" w:styleId="TableGrid">
    <w:name w:val="Table Grid"/>
    <w:basedOn w:val="TableNormal"/>
    <w:uiPriority w:val="59"/>
    <w:rsid w:val="008D2F7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02DAF"/>
    <w:rPr>
      <w:b/>
      <w:bCs/>
    </w:rPr>
  </w:style>
  <w:style w:type="character" w:styleId="Hyperlink">
    <w:name w:val="Hyperlink"/>
    <w:basedOn w:val="DefaultParagraphFont"/>
    <w:uiPriority w:val="99"/>
    <w:unhideWhenUsed/>
    <w:rsid w:val="00802DAF"/>
    <w:rPr>
      <w:color w:val="0000FF" w:themeColor="hyperlink"/>
      <w:u w:val="single"/>
    </w:rPr>
  </w:style>
  <w:style w:type="table" w:styleId="MediumList2-Accent1">
    <w:name w:val="Medium List 2 Accent 1"/>
    <w:basedOn w:val="TableNormal"/>
    <w:uiPriority w:val="66"/>
    <w:rsid w:val="005512C6"/>
    <w:pPr>
      <w:spacing w:line="240" w:lineRule="auto"/>
      <w:ind w:firstLine="0"/>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2328C7"/>
    <w:rPr>
      <w:sz w:val="16"/>
      <w:szCs w:val="16"/>
    </w:rPr>
  </w:style>
  <w:style w:type="paragraph" w:styleId="CommentText">
    <w:name w:val="annotation text"/>
    <w:basedOn w:val="Normal"/>
    <w:link w:val="CommentTextChar"/>
    <w:uiPriority w:val="99"/>
    <w:unhideWhenUsed/>
    <w:rsid w:val="002328C7"/>
    <w:pPr>
      <w:spacing w:line="240" w:lineRule="auto"/>
    </w:pPr>
    <w:rPr>
      <w:sz w:val="20"/>
      <w:szCs w:val="20"/>
    </w:rPr>
  </w:style>
  <w:style w:type="character" w:customStyle="1" w:styleId="CommentTextChar">
    <w:name w:val="Comment Text Char"/>
    <w:basedOn w:val="DefaultParagraphFont"/>
    <w:link w:val="CommentText"/>
    <w:uiPriority w:val="99"/>
    <w:rsid w:val="002328C7"/>
    <w:rPr>
      <w:sz w:val="20"/>
      <w:szCs w:val="20"/>
    </w:rPr>
  </w:style>
  <w:style w:type="paragraph" w:styleId="CommentSubject">
    <w:name w:val="annotation subject"/>
    <w:basedOn w:val="CommentText"/>
    <w:next w:val="CommentText"/>
    <w:link w:val="CommentSubjectChar"/>
    <w:uiPriority w:val="99"/>
    <w:semiHidden/>
    <w:unhideWhenUsed/>
    <w:rsid w:val="002328C7"/>
    <w:rPr>
      <w:b/>
      <w:bCs/>
    </w:rPr>
  </w:style>
  <w:style w:type="character" w:customStyle="1" w:styleId="CommentSubjectChar">
    <w:name w:val="Comment Subject Char"/>
    <w:basedOn w:val="CommentTextChar"/>
    <w:link w:val="CommentSubject"/>
    <w:uiPriority w:val="99"/>
    <w:semiHidden/>
    <w:rsid w:val="002328C7"/>
    <w:rPr>
      <w:b/>
      <w:bCs/>
      <w:sz w:val="20"/>
      <w:szCs w:val="20"/>
    </w:rPr>
  </w:style>
  <w:style w:type="paragraph" w:styleId="Revision">
    <w:name w:val="Revision"/>
    <w:hidden/>
    <w:uiPriority w:val="99"/>
    <w:semiHidden/>
    <w:rsid w:val="006A3A21"/>
    <w:pPr>
      <w:spacing w:line="240" w:lineRule="auto"/>
      <w:ind w:firstLine="0"/>
    </w:pPr>
  </w:style>
  <w:style w:type="paragraph" w:customStyle="1" w:styleId="Default">
    <w:name w:val="Default"/>
    <w:rsid w:val="00F44050"/>
    <w:pPr>
      <w:autoSpaceDE w:val="0"/>
      <w:autoSpaceDN w:val="0"/>
      <w:adjustRightInd w:val="0"/>
      <w:spacing w:line="240" w:lineRule="auto"/>
      <w:ind w:firstLine="0"/>
    </w:pPr>
    <w:rPr>
      <w:rFonts w:ascii="Times New Roman" w:hAnsi="Times New Roman" w:cs="Times New Roman"/>
      <w:color w:val="000000"/>
      <w:sz w:val="24"/>
      <w:szCs w:val="24"/>
    </w:rPr>
  </w:style>
  <w:style w:type="character" w:customStyle="1" w:styleId="threedigitcodelistdescription">
    <w:name w:val="threedigitcodelistdescription"/>
    <w:basedOn w:val="DefaultParagraphFont"/>
    <w:rsid w:val="00765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3792">
      <w:bodyDiv w:val="1"/>
      <w:marLeft w:val="0"/>
      <w:marRight w:val="0"/>
      <w:marTop w:val="0"/>
      <w:marBottom w:val="0"/>
      <w:divBdr>
        <w:top w:val="none" w:sz="0" w:space="0" w:color="auto"/>
        <w:left w:val="none" w:sz="0" w:space="0" w:color="auto"/>
        <w:bottom w:val="none" w:sz="0" w:space="0" w:color="auto"/>
        <w:right w:val="none" w:sz="0" w:space="0" w:color="auto"/>
      </w:divBdr>
      <w:divsChild>
        <w:div w:id="440033257">
          <w:marLeft w:val="1800"/>
          <w:marRight w:val="0"/>
          <w:marTop w:val="106"/>
          <w:marBottom w:val="0"/>
          <w:divBdr>
            <w:top w:val="none" w:sz="0" w:space="0" w:color="auto"/>
            <w:left w:val="none" w:sz="0" w:space="0" w:color="auto"/>
            <w:bottom w:val="none" w:sz="0" w:space="0" w:color="auto"/>
            <w:right w:val="none" w:sz="0" w:space="0" w:color="auto"/>
          </w:divBdr>
        </w:div>
      </w:divsChild>
    </w:div>
    <w:div w:id="249051403">
      <w:bodyDiv w:val="1"/>
      <w:marLeft w:val="0"/>
      <w:marRight w:val="0"/>
      <w:marTop w:val="0"/>
      <w:marBottom w:val="0"/>
      <w:divBdr>
        <w:top w:val="none" w:sz="0" w:space="0" w:color="auto"/>
        <w:left w:val="none" w:sz="0" w:space="0" w:color="auto"/>
        <w:bottom w:val="none" w:sz="0" w:space="0" w:color="auto"/>
        <w:right w:val="none" w:sz="0" w:space="0" w:color="auto"/>
      </w:divBdr>
      <w:divsChild>
        <w:div w:id="1307247606">
          <w:marLeft w:val="0"/>
          <w:marRight w:val="0"/>
          <w:marTop w:val="0"/>
          <w:marBottom w:val="0"/>
          <w:divBdr>
            <w:top w:val="none" w:sz="0" w:space="0" w:color="auto"/>
            <w:left w:val="none" w:sz="0" w:space="0" w:color="auto"/>
            <w:bottom w:val="none" w:sz="0" w:space="0" w:color="auto"/>
            <w:right w:val="none" w:sz="0" w:space="0" w:color="auto"/>
          </w:divBdr>
          <w:divsChild>
            <w:div w:id="462426290">
              <w:marLeft w:val="0"/>
              <w:marRight w:val="0"/>
              <w:marTop w:val="0"/>
              <w:marBottom w:val="0"/>
              <w:divBdr>
                <w:top w:val="none" w:sz="0" w:space="0" w:color="auto"/>
                <w:left w:val="none" w:sz="0" w:space="0" w:color="auto"/>
                <w:bottom w:val="none" w:sz="0" w:space="0" w:color="auto"/>
                <w:right w:val="none" w:sz="0" w:space="0" w:color="auto"/>
              </w:divBdr>
            </w:div>
            <w:div w:id="97797886">
              <w:marLeft w:val="0"/>
              <w:marRight w:val="0"/>
              <w:marTop w:val="0"/>
              <w:marBottom w:val="0"/>
              <w:divBdr>
                <w:top w:val="none" w:sz="0" w:space="0" w:color="auto"/>
                <w:left w:val="none" w:sz="0" w:space="0" w:color="auto"/>
                <w:bottom w:val="none" w:sz="0" w:space="0" w:color="auto"/>
                <w:right w:val="none" w:sz="0" w:space="0" w:color="auto"/>
              </w:divBdr>
            </w:div>
            <w:div w:id="31800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3876">
      <w:bodyDiv w:val="1"/>
      <w:marLeft w:val="0"/>
      <w:marRight w:val="0"/>
      <w:marTop w:val="0"/>
      <w:marBottom w:val="0"/>
      <w:divBdr>
        <w:top w:val="none" w:sz="0" w:space="0" w:color="auto"/>
        <w:left w:val="none" w:sz="0" w:space="0" w:color="auto"/>
        <w:bottom w:val="none" w:sz="0" w:space="0" w:color="auto"/>
        <w:right w:val="none" w:sz="0" w:space="0" w:color="auto"/>
      </w:divBdr>
      <w:divsChild>
        <w:div w:id="1906063348">
          <w:marLeft w:val="1267"/>
          <w:marRight w:val="0"/>
          <w:marTop w:val="134"/>
          <w:marBottom w:val="0"/>
          <w:divBdr>
            <w:top w:val="none" w:sz="0" w:space="0" w:color="auto"/>
            <w:left w:val="none" w:sz="0" w:space="0" w:color="auto"/>
            <w:bottom w:val="none" w:sz="0" w:space="0" w:color="auto"/>
            <w:right w:val="none" w:sz="0" w:space="0" w:color="auto"/>
          </w:divBdr>
        </w:div>
      </w:divsChild>
    </w:div>
    <w:div w:id="573975842">
      <w:bodyDiv w:val="1"/>
      <w:marLeft w:val="0"/>
      <w:marRight w:val="0"/>
      <w:marTop w:val="0"/>
      <w:marBottom w:val="0"/>
      <w:divBdr>
        <w:top w:val="none" w:sz="0" w:space="0" w:color="auto"/>
        <w:left w:val="none" w:sz="0" w:space="0" w:color="auto"/>
        <w:bottom w:val="none" w:sz="0" w:space="0" w:color="auto"/>
        <w:right w:val="none" w:sz="0" w:space="0" w:color="auto"/>
      </w:divBdr>
    </w:div>
    <w:div w:id="745110127">
      <w:bodyDiv w:val="1"/>
      <w:marLeft w:val="0"/>
      <w:marRight w:val="0"/>
      <w:marTop w:val="0"/>
      <w:marBottom w:val="0"/>
      <w:divBdr>
        <w:top w:val="none" w:sz="0" w:space="0" w:color="auto"/>
        <w:left w:val="none" w:sz="0" w:space="0" w:color="auto"/>
        <w:bottom w:val="none" w:sz="0" w:space="0" w:color="auto"/>
        <w:right w:val="none" w:sz="0" w:space="0" w:color="auto"/>
      </w:divBdr>
    </w:div>
    <w:div w:id="825896247">
      <w:bodyDiv w:val="1"/>
      <w:marLeft w:val="0"/>
      <w:marRight w:val="0"/>
      <w:marTop w:val="0"/>
      <w:marBottom w:val="0"/>
      <w:divBdr>
        <w:top w:val="none" w:sz="0" w:space="0" w:color="auto"/>
        <w:left w:val="none" w:sz="0" w:space="0" w:color="auto"/>
        <w:bottom w:val="none" w:sz="0" w:space="0" w:color="auto"/>
        <w:right w:val="none" w:sz="0" w:space="0" w:color="auto"/>
      </w:divBdr>
      <w:divsChild>
        <w:div w:id="888959025">
          <w:marLeft w:val="0"/>
          <w:marRight w:val="0"/>
          <w:marTop w:val="0"/>
          <w:marBottom w:val="0"/>
          <w:divBdr>
            <w:top w:val="none" w:sz="0" w:space="0" w:color="auto"/>
            <w:left w:val="none" w:sz="0" w:space="0" w:color="auto"/>
            <w:bottom w:val="none" w:sz="0" w:space="0" w:color="auto"/>
            <w:right w:val="none" w:sz="0" w:space="0" w:color="auto"/>
          </w:divBdr>
        </w:div>
      </w:divsChild>
    </w:div>
    <w:div w:id="831069458">
      <w:bodyDiv w:val="1"/>
      <w:marLeft w:val="0"/>
      <w:marRight w:val="0"/>
      <w:marTop w:val="0"/>
      <w:marBottom w:val="0"/>
      <w:divBdr>
        <w:top w:val="none" w:sz="0" w:space="0" w:color="auto"/>
        <w:left w:val="none" w:sz="0" w:space="0" w:color="auto"/>
        <w:bottom w:val="none" w:sz="0" w:space="0" w:color="auto"/>
        <w:right w:val="none" w:sz="0" w:space="0" w:color="auto"/>
      </w:divBdr>
    </w:div>
    <w:div w:id="845558775">
      <w:bodyDiv w:val="1"/>
      <w:marLeft w:val="0"/>
      <w:marRight w:val="0"/>
      <w:marTop w:val="0"/>
      <w:marBottom w:val="0"/>
      <w:divBdr>
        <w:top w:val="none" w:sz="0" w:space="0" w:color="auto"/>
        <w:left w:val="none" w:sz="0" w:space="0" w:color="auto"/>
        <w:bottom w:val="none" w:sz="0" w:space="0" w:color="auto"/>
        <w:right w:val="none" w:sz="0" w:space="0" w:color="auto"/>
      </w:divBdr>
    </w:div>
    <w:div w:id="860431456">
      <w:bodyDiv w:val="1"/>
      <w:marLeft w:val="0"/>
      <w:marRight w:val="0"/>
      <w:marTop w:val="0"/>
      <w:marBottom w:val="0"/>
      <w:divBdr>
        <w:top w:val="none" w:sz="0" w:space="0" w:color="auto"/>
        <w:left w:val="none" w:sz="0" w:space="0" w:color="auto"/>
        <w:bottom w:val="none" w:sz="0" w:space="0" w:color="auto"/>
        <w:right w:val="none" w:sz="0" w:space="0" w:color="auto"/>
      </w:divBdr>
    </w:div>
    <w:div w:id="895120707">
      <w:bodyDiv w:val="1"/>
      <w:marLeft w:val="0"/>
      <w:marRight w:val="0"/>
      <w:marTop w:val="0"/>
      <w:marBottom w:val="0"/>
      <w:divBdr>
        <w:top w:val="none" w:sz="0" w:space="0" w:color="auto"/>
        <w:left w:val="none" w:sz="0" w:space="0" w:color="auto"/>
        <w:bottom w:val="none" w:sz="0" w:space="0" w:color="auto"/>
        <w:right w:val="none" w:sz="0" w:space="0" w:color="auto"/>
      </w:divBdr>
    </w:div>
    <w:div w:id="1469319636">
      <w:bodyDiv w:val="1"/>
      <w:marLeft w:val="0"/>
      <w:marRight w:val="0"/>
      <w:marTop w:val="0"/>
      <w:marBottom w:val="0"/>
      <w:divBdr>
        <w:top w:val="none" w:sz="0" w:space="0" w:color="auto"/>
        <w:left w:val="none" w:sz="0" w:space="0" w:color="auto"/>
        <w:bottom w:val="none" w:sz="0" w:space="0" w:color="auto"/>
        <w:right w:val="none" w:sz="0" w:space="0" w:color="auto"/>
      </w:divBdr>
    </w:div>
    <w:div w:id="1625774779">
      <w:bodyDiv w:val="1"/>
      <w:marLeft w:val="0"/>
      <w:marRight w:val="0"/>
      <w:marTop w:val="0"/>
      <w:marBottom w:val="0"/>
      <w:divBdr>
        <w:top w:val="none" w:sz="0" w:space="0" w:color="auto"/>
        <w:left w:val="none" w:sz="0" w:space="0" w:color="auto"/>
        <w:bottom w:val="none" w:sz="0" w:space="0" w:color="auto"/>
        <w:right w:val="none" w:sz="0" w:space="0" w:color="auto"/>
      </w:divBdr>
    </w:div>
    <w:div w:id="1743091889">
      <w:bodyDiv w:val="1"/>
      <w:marLeft w:val="0"/>
      <w:marRight w:val="0"/>
      <w:marTop w:val="0"/>
      <w:marBottom w:val="0"/>
      <w:divBdr>
        <w:top w:val="none" w:sz="0" w:space="0" w:color="auto"/>
        <w:left w:val="none" w:sz="0" w:space="0" w:color="auto"/>
        <w:bottom w:val="none" w:sz="0" w:space="0" w:color="auto"/>
        <w:right w:val="none" w:sz="0" w:space="0" w:color="auto"/>
      </w:divBdr>
    </w:div>
    <w:div w:id="1749843120">
      <w:bodyDiv w:val="1"/>
      <w:marLeft w:val="0"/>
      <w:marRight w:val="0"/>
      <w:marTop w:val="0"/>
      <w:marBottom w:val="0"/>
      <w:divBdr>
        <w:top w:val="none" w:sz="0" w:space="0" w:color="auto"/>
        <w:left w:val="none" w:sz="0" w:space="0" w:color="auto"/>
        <w:bottom w:val="none" w:sz="0" w:space="0" w:color="auto"/>
        <w:right w:val="none" w:sz="0" w:space="0" w:color="auto"/>
      </w:divBdr>
    </w:div>
    <w:div w:id="1791169397">
      <w:bodyDiv w:val="1"/>
      <w:marLeft w:val="0"/>
      <w:marRight w:val="0"/>
      <w:marTop w:val="0"/>
      <w:marBottom w:val="0"/>
      <w:divBdr>
        <w:top w:val="none" w:sz="0" w:space="0" w:color="auto"/>
        <w:left w:val="none" w:sz="0" w:space="0" w:color="auto"/>
        <w:bottom w:val="none" w:sz="0" w:space="0" w:color="auto"/>
        <w:right w:val="none" w:sz="0" w:space="0" w:color="auto"/>
      </w:divBdr>
    </w:div>
    <w:div w:id="1959753795">
      <w:bodyDiv w:val="1"/>
      <w:marLeft w:val="0"/>
      <w:marRight w:val="0"/>
      <w:marTop w:val="0"/>
      <w:marBottom w:val="0"/>
      <w:divBdr>
        <w:top w:val="none" w:sz="0" w:space="0" w:color="auto"/>
        <w:left w:val="none" w:sz="0" w:space="0" w:color="auto"/>
        <w:bottom w:val="none" w:sz="0" w:space="0" w:color="auto"/>
        <w:right w:val="none" w:sz="0" w:space="0" w:color="auto"/>
      </w:divBdr>
    </w:div>
    <w:div w:id="213139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49DE9-D6F1-4E07-A494-52D2146C7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HPHC</Company>
  <LinksUpToDate>false</LinksUpToDate>
  <CharactersWithSpaces>13969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Sharon K</dc:creator>
  <cp:keywords/>
  <dc:description/>
  <cp:lastModifiedBy>Sharon Greene</cp:lastModifiedBy>
  <cp:revision>5</cp:revision>
  <cp:lastPrinted>2012-08-03T16:01:00Z</cp:lastPrinted>
  <dcterms:created xsi:type="dcterms:W3CDTF">2013-05-21T23:39:00Z</dcterms:created>
  <dcterms:modified xsi:type="dcterms:W3CDTF">2013-06-03T13:06:00Z</dcterms:modified>
</cp:coreProperties>
</file>