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2E" w:rsidRPr="0081420A" w:rsidRDefault="00C4312E" w:rsidP="00330E3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</w:t>
      </w:r>
      <w:r w:rsidR="00A34020">
        <w:rPr>
          <w:rFonts w:ascii="Times New Roman" w:hAnsi="Times New Roman"/>
        </w:rPr>
        <w:t>S</w:t>
      </w:r>
      <w:r>
        <w:rPr>
          <w:rFonts w:ascii="Times New Roman" w:hAnsi="Times New Roman"/>
        </w:rPr>
        <w:t>2</w:t>
      </w:r>
      <w:r w:rsidRPr="0081420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Summary</w:t>
      </w:r>
      <w:r w:rsidRPr="0081420A">
        <w:rPr>
          <w:rFonts w:ascii="Times New Roman" w:hAnsi="Times New Roman"/>
        </w:rPr>
        <w:t xml:space="preserve"> of environmental attributes </w:t>
      </w:r>
      <w:r>
        <w:rPr>
          <w:rFonts w:ascii="Times New Roman" w:hAnsi="Times New Roman"/>
        </w:rPr>
        <w:t xml:space="preserve">selected from the Principal Component Analysis carried out on the whole set of environmental variables available </w:t>
      </w:r>
      <w:r w:rsidRPr="0081420A">
        <w:rPr>
          <w:rFonts w:ascii="Times New Roman" w:hAnsi="Times New Roman"/>
        </w:rPr>
        <w:t xml:space="preserve">(which explained 72% of </w:t>
      </w:r>
      <w:r>
        <w:rPr>
          <w:rFonts w:ascii="Times New Roman" w:hAnsi="Times New Roman"/>
        </w:rPr>
        <w:t>the total</w:t>
      </w:r>
      <w:r w:rsidRPr="0081420A">
        <w:rPr>
          <w:rFonts w:ascii="Times New Roman" w:hAnsi="Times New Roman"/>
        </w:rPr>
        <w:t xml:space="preserve"> variance in the dataset)</w:t>
      </w:r>
      <w:r>
        <w:rPr>
          <w:rFonts w:ascii="Times New Roman" w:hAnsi="Times New Roman"/>
        </w:rPr>
        <w:t>.</w:t>
      </w:r>
    </w:p>
    <w:tbl>
      <w:tblPr>
        <w:tblW w:w="9042" w:type="dxa"/>
        <w:tblLook w:val="04A0"/>
      </w:tblPr>
      <w:tblGrid>
        <w:gridCol w:w="5052"/>
        <w:gridCol w:w="1072"/>
        <w:gridCol w:w="931"/>
        <w:gridCol w:w="1151"/>
        <w:gridCol w:w="836"/>
      </w:tblGrid>
      <w:tr w:rsidR="00C4312E" w:rsidRPr="00D64AC5" w:rsidTr="007268D0">
        <w:tc>
          <w:tcPr>
            <w:tcW w:w="5052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C4312E" w:rsidRPr="00D64AC5" w:rsidRDefault="00C4312E" w:rsidP="00330E33">
            <w:pPr>
              <w:spacing w:before="60" w:after="60" w:line="480" w:lineRule="auto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Variable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C4312E" w:rsidRPr="00D64AC5" w:rsidRDefault="00C4312E" w:rsidP="00330E33">
            <w:pPr>
              <w:spacing w:before="60" w:after="60" w:line="480" w:lineRule="auto"/>
              <w:jc w:val="center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Average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C4312E" w:rsidRPr="00D64AC5" w:rsidRDefault="00C4312E" w:rsidP="00330E33">
            <w:pPr>
              <w:spacing w:before="60" w:after="60" w:line="480" w:lineRule="auto"/>
              <w:jc w:val="center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min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C4312E" w:rsidRPr="00D64AC5" w:rsidRDefault="00C4312E" w:rsidP="00330E33">
            <w:pPr>
              <w:spacing w:before="60" w:after="60" w:line="480" w:lineRule="auto"/>
              <w:jc w:val="center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max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C4312E" w:rsidRPr="00D64AC5" w:rsidRDefault="00C4312E" w:rsidP="00330E33">
            <w:pPr>
              <w:spacing w:before="60" w:after="60" w:line="480" w:lineRule="auto"/>
              <w:jc w:val="center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se</w:t>
            </w:r>
          </w:p>
        </w:tc>
      </w:tr>
      <w:tr w:rsidR="00C4312E" w:rsidRPr="00D64AC5" w:rsidTr="007268D0">
        <w:tc>
          <w:tcPr>
            <w:tcW w:w="5052" w:type="dxa"/>
            <w:tcBorders>
              <w:top w:val="single" w:sz="8" w:space="0" w:color="auto"/>
            </w:tcBorders>
            <w:vAlign w:val="bottom"/>
          </w:tcPr>
          <w:p w:rsidR="00C4312E" w:rsidRPr="00D64AC5" w:rsidRDefault="00C4312E" w:rsidP="00330E33">
            <w:pPr>
              <w:spacing w:before="60" w:after="0" w:line="480" w:lineRule="auto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 xml:space="preserve">Longitude at the pour point of the </w:t>
            </w:r>
            <w:proofErr w:type="spellStart"/>
            <w:r w:rsidRPr="00D64AC5">
              <w:rPr>
                <w:rFonts w:ascii="Times New Roman" w:hAnsi="Times New Roman"/>
              </w:rPr>
              <w:t>subcatchment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</w:tcBorders>
            <w:vAlign w:val="bottom"/>
          </w:tcPr>
          <w:p w:rsidR="00C4312E" w:rsidRPr="00D64AC5" w:rsidRDefault="00C4312E" w:rsidP="00330E33">
            <w:pPr>
              <w:spacing w:before="60"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134.66</w:t>
            </w:r>
          </w:p>
        </w:tc>
        <w:tc>
          <w:tcPr>
            <w:tcW w:w="931" w:type="dxa"/>
            <w:tcBorders>
              <w:top w:val="single" w:sz="8" w:space="0" w:color="auto"/>
            </w:tcBorders>
            <w:vAlign w:val="bottom"/>
          </w:tcPr>
          <w:p w:rsidR="00C4312E" w:rsidRPr="00D64AC5" w:rsidRDefault="00C4312E" w:rsidP="00330E33">
            <w:pPr>
              <w:spacing w:before="60"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122.15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vAlign w:val="bottom"/>
          </w:tcPr>
          <w:p w:rsidR="00C4312E" w:rsidRPr="00D64AC5" w:rsidRDefault="00C4312E" w:rsidP="00330E33">
            <w:pPr>
              <w:spacing w:before="60"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145.36</w:t>
            </w:r>
          </w:p>
        </w:tc>
        <w:tc>
          <w:tcPr>
            <w:tcW w:w="836" w:type="dxa"/>
            <w:tcBorders>
              <w:top w:val="single" w:sz="8" w:space="0" w:color="auto"/>
            </w:tcBorders>
            <w:vAlign w:val="bottom"/>
          </w:tcPr>
          <w:p w:rsidR="00C4312E" w:rsidRPr="00D64AC5" w:rsidRDefault="00C4312E" w:rsidP="00330E33">
            <w:pPr>
              <w:spacing w:before="60"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0.06</w:t>
            </w:r>
          </w:p>
        </w:tc>
      </w:tr>
      <w:tr w:rsidR="00C4312E" w:rsidRPr="00D64AC5" w:rsidTr="007268D0">
        <w:tc>
          <w:tcPr>
            <w:tcW w:w="5052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Stream and environs coldest month mean temperature</w:t>
            </w:r>
          </w:p>
        </w:tc>
        <w:tc>
          <w:tcPr>
            <w:tcW w:w="1072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12.31</w:t>
            </w:r>
          </w:p>
        </w:tc>
        <w:tc>
          <w:tcPr>
            <w:tcW w:w="931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6.79</w:t>
            </w:r>
          </w:p>
        </w:tc>
        <w:tc>
          <w:tcPr>
            <w:tcW w:w="1151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20.80</w:t>
            </w:r>
          </w:p>
        </w:tc>
        <w:tc>
          <w:tcPr>
            <w:tcW w:w="836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0.02</w:t>
            </w:r>
          </w:p>
        </w:tc>
      </w:tr>
      <w:tr w:rsidR="00C4312E" w:rsidRPr="00D64AC5" w:rsidTr="007268D0">
        <w:tc>
          <w:tcPr>
            <w:tcW w:w="5052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Catchment area divided at stream bifurcations</w:t>
            </w:r>
          </w:p>
        </w:tc>
        <w:tc>
          <w:tcPr>
            <w:tcW w:w="1072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1540.61</w:t>
            </w:r>
          </w:p>
        </w:tc>
        <w:tc>
          <w:tcPr>
            <w:tcW w:w="931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0.54</w:t>
            </w:r>
          </w:p>
        </w:tc>
        <w:tc>
          <w:tcPr>
            <w:tcW w:w="1151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87009.70</w:t>
            </w:r>
          </w:p>
        </w:tc>
        <w:tc>
          <w:tcPr>
            <w:tcW w:w="836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59.65</w:t>
            </w:r>
          </w:p>
        </w:tc>
      </w:tr>
      <w:tr w:rsidR="00C4312E" w:rsidRPr="00D64AC5" w:rsidTr="007268D0">
        <w:tc>
          <w:tcPr>
            <w:tcW w:w="5052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Catchment relief</w:t>
            </w:r>
          </w:p>
        </w:tc>
        <w:tc>
          <w:tcPr>
            <w:tcW w:w="1072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0.41</w:t>
            </w:r>
          </w:p>
        </w:tc>
        <w:tc>
          <w:tcPr>
            <w:tcW w:w="931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0.01</w:t>
            </w:r>
          </w:p>
        </w:tc>
        <w:tc>
          <w:tcPr>
            <w:tcW w:w="1151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0.85</w:t>
            </w:r>
          </w:p>
        </w:tc>
        <w:tc>
          <w:tcPr>
            <w:tcW w:w="836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&lt;0.001</w:t>
            </w:r>
          </w:p>
        </w:tc>
      </w:tr>
      <w:tr w:rsidR="00C4312E" w:rsidRPr="00D64AC5" w:rsidTr="007268D0">
        <w:tc>
          <w:tcPr>
            <w:tcW w:w="5052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Average slope of downstream flow path</w:t>
            </w:r>
          </w:p>
        </w:tc>
        <w:tc>
          <w:tcPr>
            <w:tcW w:w="1072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0.06</w:t>
            </w:r>
          </w:p>
        </w:tc>
        <w:tc>
          <w:tcPr>
            <w:tcW w:w="931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0.00</w:t>
            </w:r>
          </w:p>
        </w:tc>
        <w:tc>
          <w:tcPr>
            <w:tcW w:w="1151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2.19</w:t>
            </w:r>
          </w:p>
        </w:tc>
        <w:tc>
          <w:tcPr>
            <w:tcW w:w="836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&lt;0.001</w:t>
            </w:r>
          </w:p>
        </w:tc>
      </w:tr>
      <w:tr w:rsidR="00C4312E" w:rsidRPr="00D64AC5" w:rsidTr="007268D0">
        <w:tc>
          <w:tcPr>
            <w:tcW w:w="5052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Catchment average slope</w:t>
            </w:r>
          </w:p>
        </w:tc>
        <w:tc>
          <w:tcPr>
            <w:tcW w:w="1072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1.46</w:t>
            </w:r>
          </w:p>
        </w:tc>
        <w:tc>
          <w:tcPr>
            <w:tcW w:w="931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0.01</w:t>
            </w:r>
          </w:p>
        </w:tc>
        <w:tc>
          <w:tcPr>
            <w:tcW w:w="1151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17.74</w:t>
            </w:r>
          </w:p>
        </w:tc>
        <w:tc>
          <w:tcPr>
            <w:tcW w:w="836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0.02</w:t>
            </w:r>
          </w:p>
        </w:tc>
      </w:tr>
      <w:tr w:rsidR="00C4312E" w:rsidRPr="00D64AC5" w:rsidTr="007268D0">
        <w:tc>
          <w:tcPr>
            <w:tcW w:w="5052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Sub-catchment area</w:t>
            </w:r>
          </w:p>
        </w:tc>
        <w:tc>
          <w:tcPr>
            <w:tcW w:w="1072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56.11</w:t>
            </w:r>
          </w:p>
        </w:tc>
        <w:tc>
          <w:tcPr>
            <w:tcW w:w="931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0.07</w:t>
            </w:r>
          </w:p>
        </w:tc>
        <w:tc>
          <w:tcPr>
            <w:tcW w:w="1151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4969.47</w:t>
            </w:r>
          </w:p>
        </w:tc>
        <w:tc>
          <w:tcPr>
            <w:tcW w:w="836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3.06</w:t>
            </w:r>
          </w:p>
        </w:tc>
      </w:tr>
      <w:tr w:rsidR="00C4312E" w:rsidRPr="00D64AC5" w:rsidTr="007268D0">
        <w:tc>
          <w:tcPr>
            <w:tcW w:w="5052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E31288">
              <w:rPr>
                <w:rFonts w:ascii="Times New Roman" w:hAnsi="Times New Roman"/>
              </w:rPr>
              <w:t xml:space="preserve">ercentage </w:t>
            </w:r>
            <w:r>
              <w:rPr>
                <w:rFonts w:ascii="Times New Roman" w:hAnsi="Times New Roman"/>
              </w:rPr>
              <w:t xml:space="preserve">tree </w:t>
            </w:r>
            <w:r w:rsidRPr="00E31288">
              <w:rPr>
                <w:rFonts w:ascii="Times New Roman" w:hAnsi="Times New Roman"/>
              </w:rPr>
              <w:t xml:space="preserve">cover </w:t>
            </w:r>
          </w:p>
        </w:tc>
        <w:tc>
          <w:tcPr>
            <w:tcW w:w="1072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66.40</w:t>
            </w:r>
          </w:p>
        </w:tc>
        <w:tc>
          <w:tcPr>
            <w:tcW w:w="931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0.00</w:t>
            </w:r>
          </w:p>
        </w:tc>
        <w:tc>
          <w:tcPr>
            <w:tcW w:w="1151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100.00</w:t>
            </w:r>
          </w:p>
        </w:tc>
        <w:tc>
          <w:tcPr>
            <w:tcW w:w="836" w:type="dxa"/>
            <w:vAlign w:val="bottom"/>
          </w:tcPr>
          <w:p w:rsidR="00C4312E" w:rsidRPr="00D64AC5" w:rsidRDefault="00C4312E" w:rsidP="00330E33">
            <w:pPr>
              <w:spacing w:after="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0.39</w:t>
            </w:r>
          </w:p>
        </w:tc>
      </w:tr>
      <w:tr w:rsidR="00C4312E" w:rsidRPr="00D64AC5" w:rsidTr="007268D0">
        <w:tc>
          <w:tcPr>
            <w:tcW w:w="5052" w:type="dxa"/>
            <w:tcBorders>
              <w:bottom w:val="single" w:sz="12" w:space="0" w:color="auto"/>
            </w:tcBorders>
            <w:vAlign w:val="bottom"/>
          </w:tcPr>
          <w:p w:rsidR="00C4312E" w:rsidRPr="00D64AC5" w:rsidRDefault="00C4312E" w:rsidP="00330E33">
            <w:pPr>
              <w:spacing w:after="60" w:line="480" w:lineRule="auto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 xml:space="preserve">River </w:t>
            </w:r>
            <w:r>
              <w:rPr>
                <w:rFonts w:ascii="Times New Roman" w:hAnsi="Times New Roman"/>
              </w:rPr>
              <w:t>Di</w:t>
            </w:r>
            <w:r w:rsidRPr="00D64AC5">
              <w:rPr>
                <w:rFonts w:ascii="Times New Roman" w:hAnsi="Times New Roman"/>
              </w:rPr>
              <w:t xml:space="preserve">sturbance Index (Stein </w:t>
            </w:r>
            <w:r w:rsidRPr="00E23D83">
              <w:rPr>
                <w:rFonts w:ascii="Times New Roman" w:hAnsi="Times New Roman"/>
                <w:i/>
              </w:rPr>
              <w:t>et al.</w:t>
            </w:r>
            <w:r>
              <w:rPr>
                <w:rFonts w:ascii="Times New Roman" w:hAnsi="Times New Roman"/>
              </w:rPr>
              <w:t>2002</w:t>
            </w:r>
            <w:r w:rsidRPr="00D64AC5">
              <w:rPr>
                <w:rFonts w:ascii="Times New Roman" w:hAnsi="Times New Roman"/>
              </w:rPr>
              <w:t>)</w:t>
            </w:r>
          </w:p>
        </w:tc>
        <w:tc>
          <w:tcPr>
            <w:tcW w:w="1072" w:type="dxa"/>
            <w:tcBorders>
              <w:bottom w:val="single" w:sz="12" w:space="0" w:color="auto"/>
            </w:tcBorders>
            <w:vAlign w:val="bottom"/>
          </w:tcPr>
          <w:p w:rsidR="00C4312E" w:rsidRPr="00D64AC5" w:rsidRDefault="00C4312E" w:rsidP="00330E33">
            <w:pPr>
              <w:spacing w:after="6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0.09</w:t>
            </w:r>
          </w:p>
        </w:tc>
        <w:tc>
          <w:tcPr>
            <w:tcW w:w="931" w:type="dxa"/>
            <w:tcBorders>
              <w:bottom w:val="single" w:sz="12" w:space="0" w:color="auto"/>
            </w:tcBorders>
            <w:vAlign w:val="bottom"/>
          </w:tcPr>
          <w:p w:rsidR="00C4312E" w:rsidRPr="00D64AC5" w:rsidRDefault="00C4312E" w:rsidP="00330E33">
            <w:pPr>
              <w:spacing w:after="6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0.00</w:t>
            </w:r>
          </w:p>
        </w:tc>
        <w:tc>
          <w:tcPr>
            <w:tcW w:w="1151" w:type="dxa"/>
            <w:tcBorders>
              <w:bottom w:val="single" w:sz="12" w:space="0" w:color="auto"/>
            </w:tcBorders>
            <w:vAlign w:val="bottom"/>
          </w:tcPr>
          <w:p w:rsidR="00C4312E" w:rsidRPr="00D64AC5" w:rsidRDefault="00C4312E" w:rsidP="00330E33">
            <w:pPr>
              <w:spacing w:after="6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0.63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bottom"/>
          </w:tcPr>
          <w:p w:rsidR="00C4312E" w:rsidRPr="00D64AC5" w:rsidRDefault="00C4312E" w:rsidP="00330E33">
            <w:pPr>
              <w:spacing w:after="60" w:line="480" w:lineRule="auto"/>
              <w:jc w:val="right"/>
              <w:rPr>
                <w:rFonts w:ascii="Times New Roman" w:hAnsi="Times New Roman"/>
              </w:rPr>
            </w:pPr>
            <w:r w:rsidRPr="00D64AC5">
              <w:rPr>
                <w:rFonts w:ascii="Times New Roman" w:hAnsi="Times New Roman"/>
              </w:rPr>
              <w:t>&lt;0.001</w:t>
            </w:r>
          </w:p>
        </w:tc>
      </w:tr>
    </w:tbl>
    <w:p w:rsidR="00C4312E" w:rsidRDefault="00C4312E" w:rsidP="00330E33">
      <w:pPr>
        <w:spacing w:line="480" w:lineRule="auto"/>
        <w:rPr>
          <w:rFonts w:ascii="Times New Roman" w:hAnsi="Times New Roman"/>
        </w:rPr>
      </w:pPr>
    </w:p>
    <w:p w:rsidR="00C4312E" w:rsidRDefault="00C4312E" w:rsidP="00330E3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Reference:</w:t>
      </w:r>
    </w:p>
    <w:p w:rsidR="00C4312E" w:rsidRPr="0081420A" w:rsidRDefault="00C4312E" w:rsidP="00330E33">
      <w:pPr>
        <w:spacing w:line="480" w:lineRule="auto"/>
        <w:rPr>
          <w:rFonts w:ascii="Times New Roman" w:hAnsi="Times New Roman"/>
        </w:rPr>
      </w:pPr>
      <w:r w:rsidRPr="00CD44C0">
        <w:rPr>
          <w:rFonts w:ascii="Times New Roman" w:hAnsi="Times New Roman"/>
        </w:rPr>
        <w:t>Ste</w:t>
      </w:r>
      <w:r>
        <w:rPr>
          <w:rFonts w:ascii="Times New Roman" w:hAnsi="Times New Roman"/>
        </w:rPr>
        <w:t>in J.L., Stein</w:t>
      </w:r>
      <w:r w:rsidRPr="00D638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J.A. &amp; Nix</w:t>
      </w:r>
      <w:r w:rsidRPr="00D638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H.A. (</w:t>
      </w:r>
      <w:r w:rsidRPr="00CD44C0">
        <w:rPr>
          <w:rFonts w:ascii="Times New Roman" w:hAnsi="Times New Roman"/>
        </w:rPr>
        <w:t>2002</w:t>
      </w:r>
      <w:r>
        <w:rPr>
          <w:rFonts w:ascii="Times New Roman" w:hAnsi="Times New Roman"/>
        </w:rPr>
        <w:t>).</w:t>
      </w:r>
      <w:r w:rsidRPr="00CD44C0">
        <w:rPr>
          <w:rFonts w:ascii="Times New Roman" w:hAnsi="Times New Roman"/>
        </w:rPr>
        <w:t xml:space="preserve"> Spatial analysis of anthropogenic river disturbance at regional and continental scales: identifying the wild rivers of Australia. Landscape Urban </w:t>
      </w:r>
      <w:proofErr w:type="gramStart"/>
      <w:r w:rsidRPr="00CD44C0">
        <w:rPr>
          <w:rFonts w:ascii="Times New Roman" w:hAnsi="Times New Roman"/>
        </w:rPr>
        <w:t>Plan</w:t>
      </w:r>
      <w:r>
        <w:rPr>
          <w:rFonts w:ascii="Times New Roman" w:hAnsi="Times New Roman"/>
        </w:rPr>
        <w:t>.,</w:t>
      </w:r>
      <w:proofErr w:type="gramEnd"/>
      <w:r w:rsidRPr="00CD44C0">
        <w:rPr>
          <w:rFonts w:ascii="Times New Roman" w:hAnsi="Times New Roman"/>
        </w:rPr>
        <w:t xml:space="preserve"> </w:t>
      </w:r>
      <w:r w:rsidRPr="00071D34">
        <w:rPr>
          <w:rFonts w:ascii="Times New Roman" w:hAnsi="Times New Roman"/>
        </w:rPr>
        <w:t>60</w:t>
      </w:r>
      <w:r>
        <w:rPr>
          <w:rFonts w:ascii="Times New Roman" w:hAnsi="Times New Roman"/>
        </w:rPr>
        <w:t xml:space="preserve">, </w:t>
      </w:r>
      <w:r w:rsidRPr="00CD44C0">
        <w:rPr>
          <w:rFonts w:ascii="Times New Roman" w:hAnsi="Times New Roman"/>
        </w:rPr>
        <w:t>1</w:t>
      </w:r>
      <w:r>
        <w:rPr>
          <w:rFonts w:ascii="Times New Roman" w:hAnsi="Times New Roman"/>
        </w:rPr>
        <w:t>-</w:t>
      </w:r>
      <w:r w:rsidRPr="00CD44C0">
        <w:rPr>
          <w:rFonts w:ascii="Times New Roman" w:hAnsi="Times New Roman"/>
        </w:rPr>
        <w:t>25.</w:t>
      </w:r>
    </w:p>
    <w:p w:rsidR="00BD4F0C" w:rsidRDefault="00BD4F0C"/>
    <w:sectPr w:rsidR="00BD4F0C" w:rsidSect="00BD4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12E"/>
    <w:rsid w:val="00330E33"/>
    <w:rsid w:val="005B7156"/>
    <w:rsid w:val="00A34020"/>
    <w:rsid w:val="00A66A6B"/>
    <w:rsid w:val="00BD4F0C"/>
    <w:rsid w:val="00C4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Griffith University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Virgilio Hermoso</dc:creator>
  <cp:keywords/>
  <dc:description/>
  <cp:lastModifiedBy>Virgilio Hermoso</cp:lastModifiedBy>
  <cp:revision>3</cp:revision>
  <dcterms:created xsi:type="dcterms:W3CDTF">2012-11-29T08:08:00Z</dcterms:created>
  <dcterms:modified xsi:type="dcterms:W3CDTF">2013-02-22T00:41:00Z</dcterms:modified>
</cp:coreProperties>
</file>