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4B" w:rsidRDefault="001E2B4B"/>
    <w:p w:rsidR="00637633" w:rsidRDefault="00637633"/>
    <w:p w:rsidR="00637633" w:rsidRPr="000B5AC3" w:rsidRDefault="00AE30D6">
      <w:pPr>
        <w:rPr>
          <w:rFonts w:ascii="Arial" w:hAnsi="Arial" w:cs="Arial"/>
        </w:rPr>
      </w:pPr>
      <w:r>
        <w:rPr>
          <w:rFonts w:ascii="Arial" w:hAnsi="Arial" w:cs="Arial"/>
          <w:sz w:val="28"/>
          <w:szCs w:val="28"/>
        </w:rPr>
        <w:t>S</w:t>
      </w:r>
      <w:r w:rsidR="00AF2ED8">
        <w:rPr>
          <w:rFonts w:ascii="Arial" w:hAnsi="Arial" w:cs="Arial"/>
          <w:sz w:val="28"/>
          <w:szCs w:val="28"/>
        </w:rPr>
        <w:t>2</w:t>
      </w:r>
      <w:r w:rsidR="000B5AC3" w:rsidRPr="000B5AC3">
        <w:rPr>
          <w:rFonts w:ascii="Arial" w:hAnsi="Arial" w:cs="Arial"/>
          <w:sz w:val="28"/>
          <w:szCs w:val="28"/>
        </w:rPr>
        <w:t>: Statistical, R</w:t>
      </w:r>
      <w:r w:rsidR="00637633" w:rsidRPr="000B5AC3">
        <w:rPr>
          <w:rFonts w:ascii="Arial" w:hAnsi="Arial" w:cs="Arial"/>
          <w:sz w:val="28"/>
          <w:szCs w:val="28"/>
        </w:rPr>
        <w:t xml:space="preserve">andomization </w:t>
      </w:r>
      <w:r w:rsidR="000B5AC3" w:rsidRPr="000B5AC3">
        <w:rPr>
          <w:rFonts w:ascii="Arial" w:hAnsi="Arial" w:cs="Arial"/>
          <w:sz w:val="28"/>
          <w:szCs w:val="28"/>
        </w:rPr>
        <w:t>and Placebo C</w:t>
      </w:r>
      <w:r w:rsidR="00637633" w:rsidRPr="000B5AC3">
        <w:rPr>
          <w:rFonts w:ascii="Arial" w:hAnsi="Arial" w:cs="Arial"/>
          <w:sz w:val="28"/>
          <w:szCs w:val="28"/>
        </w:rPr>
        <w:t>onsiderations</w:t>
      </w:r>
    </w:p>
    <w:p w:rsidR="00637633" w:rsidRDefault="00637633"/>
    <w:p w:rsidR="000B5AC3" w:rsidRDefault="000B5AC3">
      <w:pPr>
        <w:rPr>
          <w:rFonts w:ascii="Arial" w:hAnsi="Arial" w:cs="Arial"/>
          <w:b/>
          <w:bCs/>
        </w:rPr>
      </w:pPr>
    </w:p>
    <w:p w:rsidR="00637633" w:rsidRPr="000B5AC3" w:rsidRDefault="000B5AC3">
      <w:pPr>
        <w:rPr>
          <w:rFonts w:ascii="Arial" w:hAnsi="Arial" w:cs="Arial"/>
          <w:b/>
          <w:bCs/>
        </w:rPr>
      </w:pPr>
      <w:r w:rsidRPr="000B5AC3">
        <w:rPr>
          <w:rFonts w:ascii="Arial" w:hAnsi="Arial" w:cs="Arial"/>
          <w:b/>
          <w:bCs/>
        </w:rPr>
        <w:t>1. Statistical Considerations</w:t>
      </w:r>
    </w:p>
    <w:p w:rsidR="000B5AC3" w:rsidRDefault="000B5AC3">
      <w:pPr>
        <w:rPr>
          <w:b/>
          <w:bCs/>
        </w:rPr>
      </w:pPr>
    </w:p>
    <w:p w:rsidR="000B5AC3" w:rsidRDefault="000B5AC3">
      <w:pPr>
        <w:rPr>
          <w:b/>
          <w:bCs/>
        </w:rPr>
      </w:pPr>
      <w:r>
        <w:rPr>
          <w:b/>
          <w:bCs/>
        </w:rPr>
        <w:t>1.1 The analysis sets</w:t>
      </w:r>
    </w:p>
    <w:p w:rsidR="000B5AC3" w:rsidRDefault="000B5AC3">
      <w:pPr>
        <w:rPr>
          <w:b/>
          <w:bCs/>
        </w:rPr>
      </w:pPr>
    </w:p>
    <w:p w:rsidR="000B5AC3" w:rsidRPr="000B5AC3" w:rsidRDefault="000B5AC3">
      <w:r>
        <w:rPr>
          <w:b/>
          <w:bCs/>
        </w:rPr>
        <w:t xml:space="preserve">Safety analysis set: </w:t>
      </w:r>
      <w:r w:rsidRPr="000B5AC3">
        <w:t xml:space="preserve">This set </w:t>
      </w:r>
      <w:r w:rsidRPr="00CD0127">
        <w:t>will consist of all subjects for whom the study treatment was initiated.</w:t>
      </w:r>
    </w:p>
    <w:p w:rsidR="000B5AC3" w:rsidRDefault="000B5AC3">
      <w:pPr>
        <w:rPr>
          <w:b/>
          <w:bCs/>
        </w:rPr>
      </w:pPr>
    </w:p>
    <w:p w:rsidR="001F5A72" w:rsidRPr="001F5A72" w:rsidRDefault="000B5AC3" w:rsidP="001F5A72">
      <w:pPr>
        <w:jc w:val="both"/>
        <w:rPr>
          <w:i/>
          <w:iCs/>
        </w:rPr>
      </w:pPr>
      <w:r>
        <w:rPr>
          <w:b/>
          <w:bCs/>
        </w:rPr>
        <w:t xml:space="preserve">Primary efficacy: </w:t>
      </w:r>
      <w:r w:rsidR="001F5A72" w:rsidRPr="001F5A72">
        <w:t xml:space="preserve">The </w:t>
      </w:r>
      <w:r w:rsidR="001F5A72">
        <w:t xml:space="preserve">co-primary endpoints measured in this study are: </w:t>
      </w:r>
      <w:r w:rsidR="001F5A72" w:rsidRPr="001F5A72">
        <w:t>improvement in NIHSS tests score and improvement in ADL score</w:t>
      </w:r>
      <w:r w:rsidR="001F5A72" w:rsidRPr="001F5A72">
        <w:rPr>
          <w:i/>
          <w:iCs/>
        </w:rPr>
        <w:t xml:space="preserve"> </w:t>
      </w:r>
      <w:r w:rsidR="001F5A72" w:rsidRPr="001F5A72">
        <w:t>following</w:t>
      </w:r>
      <w:r w:rsidR="001F5A72" w:rsidRPr="001F5A72">
        <w:rPr>
          <w:i/>
          <w:iCs/>
        </w:rPr>
        <w:t xml:space="preserve"> </w:t>
      </w:r>
      <w:r w:rsidR="001F5A72" w:rsidRPr="001F5A72">
        <w:t>HBOT treatment for post stroke patients suffering chronic neurological deficiencies.</w:t>
      </w:r>
    </w:p>
    <w:p w:rsidR="001F5A72" w:rsidRDefault="001F5A72" w:rsidP="001F5A72">
      <w:pPr>
        <w:jc w:val="both"/>
      </w:pPr>
    </w:p>
    <w:p w:rsidR="00F97BA4" w:rsidRPr="00182CA1" w:rsidRDefault="001F5A72" w:rsidP="00F97BA4">
      <w:pPr>
        <w:jc w:val="both"/>
      </w:pPr>
      <w:r w:rsidRPr="001F5A72">
        <w:t xml:space="preserve">The primary efficacy analysis evaluation will include all </w:t>
      </w:r>
      <w:r w:rsidR="00F97BA4" w:rsidRPr="00182CA1">
        <w:t xml:space="preserve">For 80% power to detect a difference of 25% between study and control group on the NIHSS test score, with 1:1 random allocation using a one sided </w:t>
      </w:r>
      <w:r w:rsidR="00F97BA4" w:rsidRPr="00182CA1">
        <w:rPr>
          <w:i/>
          <w:iCs/>
        </w:rPr>
        <w:t>t</w:t>
      </w:r>
      <w:r w:rsidR="00F97BA4" w:rsidRPr="00182CA1">
        <w:t xml:space="preserve"> test with </w:t>
      </w:r>
      <w:r w:rsidR="00F97BA4" w:rsidRPr="00182CA1">
        <w:sym w:font="Symbol" w:char="F061"/>
      </w:r>
      <w:r w:rsidR="00F97BA4" w:rsidRPr="00182CA1">
        <w:t>= 0.05, a sample size of 31 patients (for each group) would be required.</w:t>
      </w:r>
    </w:p>
    <w:p w:rsidR="00F97BA4" w:rsidRDefault="00F97BA4" w:rsidP="00F97BA4">
      <w:pPr>
        <w:jc w:val="both"/>
      </w:pPr>
    </w:p>
    <w:p w:rsidR="00BA3FC1" w:rsidRDefault="00273C9F" w:rsidP="00F97BA4">
      <w:pPr>
        <w:jc w:val="both"/>
      </w:pPr>
      <w:r>
        <w:t>NIHSS test, ADL and quality of life scores of treated and cross groups were compared at baseline and following HBOT treatment</w:t>
      </w:r>
      <w:r w:rsidR="00BA3FC1">
        <w:t xml:space="preserve"> (for treatment group). Further</w:t>
      </w:r>
      <w:r>
        <w:t>more, the scores of the cross group at baseline were compared to NIHSS test scores obtained following</w:t>
      </w:r>
      <w:r w:rsidR="00BA3FC1">
        <w:t xml:space="preserve"> a</w:t>
      </w:r>
      <w:r>
        <w:t xml:space="preserve"> no treatment period, and following HBOT treatment using One Way ANOVA. Categorical data is expressed in numbers and percentages and compared by chi-square test. P values&lt;0.05 were considered significant.</w:t>
      </w:r>
    </w:p>
    <w:p w:rsidR="007062E9" w:rsidRDefault="007062E9" w:rsidP="00F97BA4">
      <w:pPr>
        <w:jc w:val="both"/>
      </w:pPr>
    </w:p>
    <w:p w:rsidR="001F5A72" w:rsidRPr="001F5A72" w:rsidRDefault="00F97BA4" w:rsidP="00F97BA4">
      <w:pPr>
        <w:jc w:val="both"/>
      </w:pPr>
      <w:r w:rsidRPr="00CF23A4">
        <w:t>All randomly allocated patients were included in the safety analysis.</w:t>
      </w:r>
    </w:p>
    <w:p w:rsidR="000B5AC3" w:rsidRPr="001F5A72" w:rsidRDefault="000B5AC3" w:rsidP="00F97BA4">
      <w:pPr>
        <w:jc w:val="both"/>
      </w:pPr>
    </w:p>
    <w:p w:rsidR="003338C0" w:rsidRDefault="003338C0" w:rsidP="003338C0">
      <w:pPr>
        <w:rPr>
          <w:b/>
          <w:bCs/>
        </w:rPr>
      </w:pPr>
      <w:r>
        <w:rPr>
          <w:b/>
          <w:bCs/>
        </w:rPr>
        <w:t>1.2 Sample size considerations</w:t>
      </w:r>
    </w:p>
    <w:p w:rsidR="003338C0" w:rsidRDefault="003338C0" w:rsidP="003338C0"/>
    <w:p w:rsidR="003338C0" w:rsidRPr="00CD0127" w:rsidRDefault="003338C0" w:rsidP="003338C0">
      <w:pPr>
        <w:jc w:val="both"/>
      </w:pPr>
      <w:r w:rsidRPr="00CD0127">
        <w:t xml:space="preserve">Presentation of sample size is based on achieving 80% power overall to demonstrate that improvement rate in </w:t>
      </w:r>
      <w:r w:rsidRPr="00CD0127">
        <w:rPr>
          <w:i/>
          <w:iCs/>
        </w:rPr>
        <w:t>NIHSS test score</w:t>
      </w:r>
      <w:r w:rsidRPr="00CD0127">
        <w:t xml:space="preserve"> is at least 0.25 and, separately, that improvement rate in </w:t>
      </w:r>
      <w:r w:rsidRPr="00CD0127">
        <w:rPr>
          <w:i/>
          <w:iCs/>
        </w:rPr>
        <w:t>ADL test score</w:t>
      </w:r>
      <w:r w:rsidRPr="00CD0127">
        <w:t xml:space="preserve"> is at least 0.25. An improvement rate of at least 25% in the NIHSS test and ADL score in the treatment group (comparing to baseline, prior to HBOT treatment) would be an appropriate clinical target for HBOT treatment success and of sufficient interest </w:t>
      </w:r>
      <w:r>
        <w:t xml:space="preserve">likely </w:t>
      </w:r>
      <w:r w:rsidRPr="00CD0127">
        <w:t>to encourage further investigation of HBOT treatment for post stroke patients suffering chronic NIHSS deficiencies.</w:t>
      </w:r>
    </w:p>
    <w:p w:rsidR="003338C0" w:rsidRDefault="003338C0" w:rsidP="003338C0">
      <w:pPr>
        <w:spacing w:after="120"/>
        <w:jc w:val="both"/>
      </w:pPr>
    </w:p>
    <w:p w:rsidR="003338C0" w:rsidRPr="00CD0127" w:rsidRDefault="003338C0" w:rsidP="003338C0">
      <w:pPr>
        <w:spacing w:after="120"/>
        <w:jc w:val="both"/>
      </w:pPr>
      <w:r w:rsidRPr="00CD0127">
        <w:t xml:space="preserve">Sample size was based on the assumption that exposure to the NIHSS tests and ADL evaluation (at baseline) without any additional training might induce up to 4% score improvement in the second NIHSS test (following treatment). Assuming a true success rate of 25% a sample of N = 31 </w:t>
      </w:r>
      <w:r w:rsidR="00F97BA4">
        <w:t xml:space="preserve">patients (for each group) </w:t>
      </w:r>
      <w:r w:rsidRPr="00CD0127">
        <w:t xml:space="preserve">will provide 80% power to show that HBOT treatment induces at least 25% improvement on </w:t>
      </w:r>
      <w:r w:rsidRPr="00CD0127">
        <w:rPr>
          <w:i/>
          <w:iCs/>
        </w:rPr>
        <w:t>NIHSS test score</w:t>
      </w:r>
      <w:r w:rsidRPr="00CD0127">
        <w:t xml:space="preserve"> and </w:t>
      </w:r>
      <w:r w:rsidRPr="00CD0127">
        <w:lastRenderedPageBreak/>
        <w:t xml:space="preserve">separately, on </w:t>
      </w:r>
      <w:r w:rsidRPr="00CD0127">
        <w:rPr>
          <w:i/>
          <w:iCs/>
        </w:rPr>
        <w:t>ADL test score</w:t>
      </w:r>
      <w:r w:rsidRPr="00CD0127">
        <w:t xml:space="preserve">. This is based on a power analysis </w:t>
      </w:r>
      <w:r w:rsidR="00F97BA4">
        <w:t xml:space="preserve">with 1:1 random allocation </w:t>
      </w:r>
      <w:r w:rsidRPr="00CD0127">
        <w:t>using the normal approximation for the binomial, with one-sided Alpha=0.05.</w:t>
      </w:r>
    </w:p>
    <w:p w:rsidR="00CF23A4" w:rsidRDefault="00CF23A4">
      <w:pPr>
        <w:rPr>
          <w:b/>
          <w:bCs/>
        </w:rPr>
      </w:pPr>
    </w:p>
    <w:p w:rsidR="008C2DAF" w:rsidRDefault="008C2DAF">
      <w:pPr>
        <w:rPr>
          <w:b/>
          <w:bCs/>
        </w:rPr>
      </w:pPr>
      <w:r>
        <w:rPr>
          <w:rFonts w:ascii="Arial" w:hAnsi="Arial" w:cs="Arial"/>
          <w:b/>
          <w:bCs/>
        </w:rPr>
        <w:t>2. Randomization and Placebo</w:t>
      </w:r>
      <w:r w:rsidRPr="000B5AC3">
        <w:rPr>
          <w:rFonts w:ascii="Arial" w:hAnsi="Arial" w:cs="Arial"/>
          <w:b/>
          <w:bCs/>
        </w:rPr>
        <w:t xml:space="preserve"> Considerations</w:t>
      </w:r>
    </w:p>
    <w:p w:rsidR="008C2DAF" w:rsidRDefault="008C2DAF">
      <w:pPr>
        <w:rPr>
          <w:b/>
          <w:bCs/>
        </w:rPr>
      </w:pPr>
    </w:p>
    <w:p w:rsidR="008C2DAF" w:rsidRDefault="008C2DAF" w:rsidP="008C2DAF">
      <w:pPr>
        <w:rPr>
          <w:b/>
          <w:bCs/>
        </w:rPr>
      </w:pPr>
      <w:r>
        <w:rPr>
          <w:b/>
          <w:bCs/>
        </w:rPr>
        <w:t>2.1 Randomization</w:t>
      </w:r>
    </w:p>
    <w:p w:rsidR="009C26F0" w:rsidRDefault="009C26F0" w:rsidP="008C2DAF">
      <w:pPr>
        <w:jc w:val="both"/>
      </w:pPr>
    </w:p>
    <w:p w:rsidR="00E32639" w:rsidRDefault="008C2DAF" w:rsidP="00174943">
      <w:pPr>
        <w:jc w:val="both"/>
      </w:pPr>
      <w:r w:rsidRPr="00354E21">
        <w:t>Since the diversity of the patients included in the study</w:t>
      </w:r>
      <w:r w:rsidR="00657296">
        <w:t xml:space="preserve"> </w:t>
      </w:r>
      <w:r>
        <w:t>was</w:t>
      </w:r>
      <w:r w:rsidRPr="00354E21">
        <w:t xml:space="preserve"> expected to be high, no stratifi</w:t>
      </w:r>
      <w:r w:rsidR="00174943">
        <w:t>cation</w:t>
      </w:r>
      <w:r w:rsidRPr="00354E21">
        <w:t xml:space="preserve"> criteria </w:t>
      </w:r>
      <w:r>
        <w:t>w</w:t>
      </w:r>
      <w:r w:rsidR="00174943">
        <w:t>ere</w:t>
      </w:r>
      <w:r w:rsidRPr="00354E21">
        <w:t xml:space="preserve"> use</w:t>
      </w:r>
      <w:r>
        <w:t>d</w:t>
      </w:r>
      <w:r w:rsidRPr="00354E21">
        <w:t xml:space="preserve">. Patients </w:t>
      </w:r>
      <w:r>
        <w:t>were</w:t>
      </w:r>
      <w:r w:rsidRPr="00354E21">
        <w:t xml:space="preserve"> randomized in 1:1 fashion to either</w:t>
      </w:r>
      <w:r>
        <w:t xml:space="preserve"> the </w:t>
      </w:r>
      <w:r w:rsidRPr="00354E21">
        <w:t xml:space="preserve">treatment </w:t>
      </w:r>
      <w:r>
        <w:t xml:space="preserve">group </w:t>
      </w:r>
      <w:r w:rsidRPr="00354E21">
        <w:t xml:space="preserve">or </w:t>
      </w:r>
      <w:r>
        <w:t xml:space="preserve">the </w:t>
      </w:r>
      <w:r w:rsidRPr="00354E21">
        <w:t>controlled-cross group</w:t>
      </w:r>
      <w:r>
        <w:t>.</w:t>
      </w:r>
    </w:p>
    <w:p w:rsidR="008C2DAF" w:rsidRDefault="008C2DAF" w:rsidP="00E32639">
      <w:pPr>
        <w:spacing w:line="480" w:lineRule="auto"/>
        <w:jc w:val="both"/>
      </w:pPr>
    </w:p>
    <w:p w:rsidR="009C26F0" w:rsidRDefault="009C26F0" w:rsidP="00A41474">
      <w:pPr>
        <w:rPr>
          <w:b/>
          <w:bCs/>
        </w:rPr>
      </w:pPr>
      <w:r>
        <w:rPr>
          <w:b/>
          <w:bCs/>
        </w:rPr>
        <w:t xml:space="preserve">2.2 Placebo </w:t>
      </w:r>
      <w:r w:rsidR="00EE4A9A">
        <w:rPr>
          <w:b/>
          <w:bCs/>
        </w:rPr>
        <w:t>con</w:t>
      </w:r>
      <w:r w:rsidR="00462ED6">
        <w:rPr>
          <w:b/>
          <w:bCs/>
        </w:rPr>
        <w:t>s</w:t>
      </w:r>
      <w:r w:rsidR="00EE4A9A">
        <w:rPr>
          <w:b/>
          <w:bCs/>
        </w:rPr>
        <w:t>traints</w:t>
      </w:r>
    </w:p>
    <w:p w:rsidR="009C26F0" w:rsidRDefault="009C26F0" w:rsidP="00A41474">
      <w:pPr>
        <w:jc w:val="both"/>
      </w:pPr>
    </w:p>
    <w:p w:rsidR="00A41474" w:rsidRPr="00185E12" w:rsidRDefault="00881E5F" w:rsidP="00C93A92">
      <w:pPr>
        <w:jc w:val="both"/>
      </w:pPr>
      <w:r>
        <w:t>T</w:t>
      </w:r>
      <w:r w:rsidR="00A41474">
        <w:t xml:space="preserve">here is an inherent </w:t>
      </w:r>
      <w:r w:rsidR="00EE4A9A">
        <w:t>constraint</w:t>
      </w:r>
      <w:r w:rsidR="00A41474">
        <w:t xml:space="preserve"> to carry</w:t>
      </w:r>
      <w:r w:rsidR="00462ED6">
        <w:t>ing out</w:t>
      </w:r>
      <w:r w:rsidR="00A41474">
        <w:t xml:space="preserve"> </w:t>
      </w:r>
      <w:r w:rsidR="00EE4A9A">
        <w:t xml:space="preserve">a direct placebo in </w:t>
      </w:r>
      <w:r w:rsidR="00A41474">
        <w:t>HBOT study</w:t>
      </w:r>
      <w:r w:rsidR="00593227">
        <w:t>.</w:t>
      </w:r>
      <w:r w:rsidR="00A41474">
        <w:t xml:space="preserve"> </w:t>
      </w:r>
      <w:r w:rsidR="00F25441">
        <w:t>T</w:t>
      </w:r>
      <w:r w:rsidR="00A41474">
        <w:t>he patients in the chamber detect i</w:t>
      </w:r>
      <w:r w:rsidR="00F25441">
        <w:t>f</w:t>
      </w:r>
      <w:r w:rsidR="00A41474">
        <w:t xml:space="preserve"> the pressure is increased or not. </w:t>
      </w:r>
      <w:r w:rsidR="00185E12">
        <w:t xml:space="preserve">In principle, it is possible </w:t>
      </w:r>
      <w:r w:rsidR="00EE4A9A">
        <w:t xml:space="preserve">to carry out a partial placebo: </w:t>
      </w:r>
      <w:r w:rsidR="00F25441">
        <w:t>t</w:t>
      </w:r>
      <w:r w:rsidR="00185E12">
        <w:t>o place the patients in the chamber and increase the pressure without increasing the oxygen concentration in the air. However, the amount of dissolved oxygen in the blood will increase as a result of the pressure increase (according to Henry’s law</w:t>
      </w:r>
      <w:r w:rsidR="00185E12">
        <w:rPr>
          <w:vertAlign w:val="superscript"/>
        </w:rPr>
        <w:t>1</w:t>
      </w:r>
      <w:r w:rsidR="00185E12">
        <w:t xml:space="preserve">). Hence, the only option is to perform a </w:t>
      </w:r>
      <w:r w:rsidR="00EE4A9A">
        <w:t xml:space="preserve">direct </w:t>
      </w:r>
      <w:r w:rsidR="00185E12">
        <w:t>“</w:t>
      </w:r>
      <w:r>
        <w:t>n</w:t>
      </w:r>
      <w:r w:rsidR="00185E12">
        <w:t xml:space="preserve">egative </w:t>
      </w:r>
      <w:r>
        <w:t>p</w:t>
      </w:r>
      <w:r w:rsidR="00185E12">
        <w:t>lacebo”</w:t>
      </w:r>
      <w:r>
        <w:t xml:space="preserve"> </w:t>
      </w:r>
      <w:r w:rsidR="0082513F">
        <w:t>by</w:t>
      </w:r>
      <w:r w:rsidR="00185E12">
        <w:t xml:space="preserve"> increas</w:t>
      </w:r>
      <w:r w:rsidR="0082513F">
        <w:t>ing</w:t>
      </w:r>
      <w:r w:rsidR="00185E12">
        <w:t xml:space="preserve"> the pressure while lowering the oxygen concentration in the air</w:t>
      </w:r>
      <w:r w:rsidR="0082513F">
        <w:t>,</w:t>
      </w:r>
      <w:r w:rsidR="00185E12">
        <w:t xml:space="preserve"> which holds significant safety hazards</w:t>
      </w:r>
      <w:r w:rsidR="008B5454">
        <w:t xml:space="preserve"> and brings up serious ethical questions</w:t>
      </w:r>
      <w:r w:rsidR="00185E12">
        <w:t>.</w:t>
      </w:r>
    </w:p>
    <w:p w:rsidR="009C26F0" w:rsidRDefault="009C26F0" w:rsidP="00A41474">
      <w:pPr>
        <w:jc w:val="both"/>
      </w:pPr>
    </w:p>
    <w:p w:rsidR="00F45FB4" w:rsidRPr="00354E21" w:rsidRDefault="00F45FB4" w:rsidP="00174943">
      <w:pPr>
        <w:jc w:val="both"/>
      </w:pPr>
      <w:r w:rsidRPr="00354E21">
        <w:t>In order</w:t>
      </w:r>
      <w:r>
        <w:t xml:space="preserve"> to </w:t>
      </w:r>
      <w:r w:rsidR="00EE4A9A">
        <w:t xml:space="preserve">partially </w:t>
      </w:r>
      <w:r>
        <w:t xml:space="preserve">compensate for the </w:t>
      </w:r>
      <w:r w:rsidR="0051004A">
        <w:t>absence</w:t>
      </w:r>
      <w:r w:rsidR="00C93A92">
        <w:t xml:space="preserve"> of </w:t>
      </w:r>
      <w:r>
        <w:t>placebo</w:t>
      </w:r>
      <w:r w:rsidRPr="00354E21">
        <w:t xml:space="preserve">, </w:t>
      </w:r>
      <w:r>
        <w:t xml:space="preserve">the patients in the cross group went through 2 months with no treatment </w:t>
      </w:r>
      <w:r w:rsidR="00C93A92">
        <w:t xml:space="preserve">at all </w:t>
      </w:r>
      <w:r>
        <w:t>followed by</w:t>
      </w:r>
      <w:r w:rsidR="00C93A92">
        <w:t xml:space="preserve"> a</w:t>
      </w:r>
      <w:r>
        <w:t xml:space="preserve"> </w:t>
      </w:r>
      <w:r w:rsidR="00C93A92">
        <w:t>second</w:t>
      </w:r>
      <w:r>
        <w:t xml:space="preserve"> evaluation and then </w:t>
      </w:r>
      <w:r w:rsidRPr="00354E21">
        <w:t xml:space="preserve">crossed to HBOT. </w:t>
      </w:r>
      <w:r>
        <w:t xml:space="preserve">The cross for treatment enables intra-group efficacy evaluation in both treatment and control periods in the same group and compare the results to the patients in the </w:t>
      </w:r>
      <w:r w:rsidR="00174943">
        <w:t>immediately-</w:t>
      </w:r>
      <w:r>
        <w:t xml:space="preserve">treated group. </w:t>
      </w:r>
    </w:p>
    <w:p w:rsidR="00F45FB4" w:rsidRDefault="00F45FB4" w:rsidP="00A41474">
      <w:pPr>
        <w:jc w:val="both"/>
      </w:pPr>
    </w:p>
    <w:p w:rsidR="00F32E99" w:rsidRDefault="00F32E99" w:rsidP="00F32E99">
      <w:pPr>
        <w:rPr>
          <w:b/>
          <w:bCs/>
        </w:rPr>
      </w:pPr>
      <w:r>
        <w:rPr>
          <w:b/>
          <w:bCs/>
        </w:rPr>
        <w:t>2.3 Blind</w:t>
      </w:r>
      <w:r w:rsidR="001E2506">
        <w:rPr>
          <w:b/>
          <w:bCs/>
        </w:rPr>
        <w:t>ing</w:t>
      </w:r>
      <w:r>
        <w:rPr>
          <w:b/>
          <w:bCs/>
        </w:rPr>
        <w:t xml:space="preserve"> </w:t>
      </w:r>
      <w:r w:rsidR="00EE4A9A">
        <w:rPr>
          <w:b/>
          <w:bCs/>
        </w:rPr>
        <w:t>constraints</w:t>
      </w:r>
    </w:p>
    <w:p w:rsidR="00F32E99" w:rsidRDefault="00F32E99" w:rsidP="00F32E99">
      <w:pPr>
        <w:jc w:val="both"/>
      </w:pPr>
    </w:p>
    <w:p w:rsidR="00F32E99" w:rsidRPr="00354E21" w:rsidRDefault="00F32E99" w:rsidP="00F32E99">
      <w:pPr>
        <w:jc w:val="both"/>
      </w:pPr>
      <w:r w:rsidRPr="00354E21">
        <w:t>Since the patients knew they were not receiving HBOT during the control period</w:t>
      </w:r>
      <w:r w:rsidR="008B5454">
        <w:t>,</w:t>
      </w:r>
      <w:r w:rsidRPr="00354E21">
        <w:t xml:space="preserve"> they were not blinded with regard to the treatment arm. Accordingly</w:t>
      </w:r>
      <w:r w:rsidR="008B5454">
        <w:t>,</w:t>
      </w:r>
      <w:r w:rsidRPr="00354E21">
        <w:t xml:space="preserve"> the ADL and quality of life evaluations were not blinded. Moreover, </w:t>
      </w:r>
      <w:r>
        <w:t xml:space="preserve">in the current clinical setting, </w:t>
      </w:r>
      <w:r w:rsidRPr="00354E21">
        <w:t xml:space="preserve">it was not possible to assure that the NIHSS evaluation could be done completely blinded by the physician. The complete blindness evaluation could be assured in the brain SPECT evaluation done by the radiologist. </w:t>
      </w:r>
      <w:r>
        <w:t xml:space="preserve">The correlation between metabolic blinded evaluation of the brain (SPECT) and the neurological un-blinded evaluations give further support and strength to the clinical findings.   </w:t>
      </w:r>
    </w:p>
    <w:p w:rsidR="00F32E99" w:rsidRDefault="00F32E99" w:rsidP="00E32639">
      <w:pPr>
        <w:spacing w:line="480" w:lineRule="auto"/>
        <w:jc w:val="both"/>
      </w:pPr>
    </w:p>
    <w:p w:rsidR="00380197" w:rsidRPr="00380197" w:rsidRDefault="00380197" w:rsidP="00380197">
      <w:pPr>
        <w:spacing w:line="480" w:lineRule="auto"/>
        <w:jc w:val="both"/>
        <w:rPr>
          <w:rFonts w:ascii="Arial" w:hAnsi="Arial" w:cs="Arial"/>
          <w:b/>
          <w:bCs/>
        </w:rPr>
      </w:pPr>
      <w:r w:rsidRPr="00380197">
        <w:rPr>
          <w:rFonts w:ascii="Arial" w:hAnsi="Arial" w:cs="Arial"/>
          <w:b/>
          <w:bCs/>
        </w:rPr>
        <w:t xml:space="preserve">References </w:t>
      </w:r>
    </w:p>
    <w:p w:rsidR="009C26F0" w:rsidRDefault="008A3F97" w:rsidP="00593227">
      <w:pPr>
        <w:jc w:val="both"/>
      </w:pPr>
      <w:r w:rsidRPr="00380197">
        <w:fldChar w:fldCharType="begin"/>
      </w:r>
      <w:r w:rsidR="00380197" w:rsidRPr="00380197">
        <w:instrText xml:space="preserve"> ADDIN EN.REFLIST </w:instrText>
      </w:r>
      <w:r w:rsidRPr="00380197">
        <w:fldChar w:fldCharType="separate"/>
      </w:r>
      <w:bookmarkStart w:id="0" w:name="_ENREF_1"/>
      <w:r w:rsidR="00380197">
        <w:t xml:space="preserve">1. </w:t>
      </w:r>
      <w:r w:rsidR="00380197" w:rsidRPr="00380197">
        <w:t xml:space="preserve">Muth CM, Radermacher P, Pittner A, Steinacker J, Schabana R, Hamich S, et al. Arterial blood gases during diving in elite apnea divers. Int J Sports Med. 2003; </w:t>
      </w:r>
      <w:r w:rsidR="00380197" w:rsidRPr="00380197">
        <w:rPr>
          <w:b/>
        </w:rPr>
        <w:t>24</w:t>
      </w:r>
      <w:r w:rsidR="00380197" w:rsidRPr="00380197">
        <w:t>(2): 104-7.</w:t>
      </w:r>
      <w:bookmarkEnd w:id="0"/>
      <w:r w:rsidRPr="00380197">
        <w:fldChar w:fldCharType="end"/>
      </w:r>
    </w:p>
    <w:sectPr w:rsidR="009C26F0" w:rsidSect="00656853">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27" w:rsidRDefault="00B50827" w:rsidP="00593227">
      <w:r>
        <w:separator/>
      </w:r>
    </w:p>
  </w:endnote>
  <w:endnote w:type="continuationSeparator" w:id="0">
    <w:p w:rsidR="00B50827" w:rsidRDefault="00B50827" w:rsidP="00593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27" w:rsidRDefault="008A3F97">
    <w:pPr>
      <w:pStyle w:val="Footer"/>
      <w:jc w:val="center"/>
    </w:pPr>
    <w:fldSimple w:instr=" PAGE   \* MERGEFORMAT ">
      <w:r w:rsidR="00AE30D6">
        <w:rPr>
          <w:noProof/>
        </w:rPr>
        <w:t>1</w:t>
      </w:r>
    </w:fldSimple>
  </w:p>
  <w:p w:rsidR="00593227" w:rsidRDefault="00593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27" w:rsidRDefault="00B50827" w:rsidP="00593227">
      <w:r>
        <w:separator/>
      </w:r>
    </w:p>
  </w:footnote>
  <w:footnote w:type="continuationSeparator" w:id="0">
    <w:p w:rsidR="00B50827" w:rsidRDefault="00B50827" w:rsidP="00593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637633"/>
    <w:rsid w:val="00056F8D"/>
    <w:rsid w:val="00093F41"/>
    <w:rsid w:val="000B5AC3"/>
    <w:rsid w:val="001504BC"/>
    <w:rsid w:val="00174943"/>
    <w:rsid w:val="001852DF"/>
    <w:rsid w:val="00185E12"/>
    <w:rsid w:val="00194A63"/>
    <w:rsid w:val="001E2506"/>
    <w:rsid w:val="001E2B4B"/>
    <w:rsid w:val="001F5A72"/>
    <w:rsid w:val="0024217F"/>
    <w:rsid w:val="00273C9F"/>
    <w:rsid w:val="002C3297"/>
    <w:rsid w:val="002F1E86"/>
    <w:rsid w:val="003338C0"/>
    <w:rsid w:val="00380197"/>
    <w:rsid w:val="00385BE0"/>
    <w:rsid w:val="00462ED6"/>
    <w:rsid w:val="0051004A"/>
    <w:rsid w:val="005139AE"/>
    <w:rsid w:val="00593227"/>
    <w:rsid w:val="00637633"/>
    <w:rsid w:val="00656853"/>
    <w:rsid w:val="00657296"/>
    <w:rsid w:val="006B204E"/>
    <w:rsid w:val="006D5DFA"/>
    <w:rsid w:val="007062E9"/>
    <w:rsid w:val="0082513F"/>
    <w:rsid w:val="00881E5F"/>
    <w:rsid w:val="008A3F97"/>
    <w:rsid w:val="008B5454"/>
    <w:rsid w:val="008C2DAF"/>
    <w:rsid w:val="00967883"/>
    <w:rsid w:val="00994C92"/>
    <w:rsid w:val="009C26F0"/>
    <w:rsid w:val="009C6D67"/>
    <w:rsid w:val="00A41474"/>
    <w:rsid w:val="00AE30D6"/>
    <w:rsid w:val="00AF2ED8"/>
    <w:rsid w:val="00B50827"/>
    <w:rsid w:val="00B7037A"/>
    <w:rsid w:val="00B75E0A"/>
    <w:rsid w:val="00BA3FC1"/>
    <w:rsid w:val="00BC47F8"/>
    <w:rsid w:val="00BD55F2"/>
    <w:rsid w:val="00C93A92"/>
    <w:rsid w:val="00CA6239"/>
    <w:rsid w:val="00CE76DA"/>
    <w:rsid w:val="00CF23A4"/>
    <w:rsid w:val="00D41D45"/>
    <w:rsid w:val="00E32639"/>
    <w:rsid w:val="00EE4A9A"/>
    <w:rsid w:val="00F25441"/>
    <w:rsid w:val="00F32E99"/>
    <w:rsid w:val="00F448AD"/>
    <w:rsid w:val="00F45FB4"/>
    <w:rsid w:val="00F97B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85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A9A"/>
    <w:rPr>
      <w:rFonts w:ascii="Tahoma" w:hAnsi="Tahoma" w:cs="Tahoma"/>
      <w:sz w:val="16"/>
      <w:szCs w:val="16"/>
    </w:rPr>
  </w:style>
  <w:style w:type="character" w:styleId="CommentReference">
    <w:name w:val="annotation reference"/>
    <w:basedOn w:val="DefaultParagraphFont"/>
    <w:semiHidden/>
    <w:rsid w:val="00174943"/>
    <w:rPr>
      <w:sz w:val="16"/>
      <w:szCs w:val="16"/>
    </w:rPr>
  </w:style>
  <w:style w:type="paragraph" w:styleId="CommentText">
    <w:name w:val="annotation text"/>
    <w:basedOn w:val="Normal"/>
    <w:semiHidden/>
    <w:rsid w:val="00174943"/>
    <w:rPr>
      <w:sz w:val="20"/>
      <w:szCs w:val="20"/>
    </w:rPr>
  </w:style>
  <w:style w:type="paragraph" w:styleId="CommentSubject">
    <w:name w:val="annotation subject"/>
    <w:basedOn w:val="CommentText"/>
    <w:next w:val="CommentText"/>
    <w:semiHidden/>
    <w:rsid w:val="00174943"/>
    <w:rPr>
      <w:b/>
      <w:bCs/>
    </w:rPr>
  </w:style>
  <w:style w:type="paragraph" w:styleId="Header">
    <w:name w:val="header"/>
    <w:basedOn w:val="Normal"/>
    <w:link w:val="HeaderChar"/>
    <w:rsid w:val="00593227"/>
    <w:pPr>
      <w:tabs>
        <w:tab w:val="center" w:pos="4680"/>
        <w:tab w:val="right" w:pos="9360"/>
      </w:tabs>
    </w:pPr>
  </w:style>
  <w:style w:type="character" w:customStyle="1" w:styleId="HeaderChar">
    <w:name w:val="Header Char"/>
    <w:basedOn w:val="DefaultParagraphFont"/>
    <w:link w:val="Header"/>
    <w:rsid w:val="00593227"/>
    <w:rPr>
      <w:sz w:val="24"/>
      <w:szCs w:val="24"/>
      <w:lang w:eastAsia="ja-JP"/>
    </w:rPr>
  </w:style>
  <w:style w:type="paragraph" w:styleId="Footer">
    <w:name w:val="footer"/>
    <w:basedOn w:val="Normal"/>
    <w:link w:val="FooterChar"/>
    <w:uiPriority w:val="99"/>
    <w:rsid w:val="00593227"/>
    <w:pPr>
      <w:tabs>
        <w:tab w:val="center" w:pos="4680"/>
        <w:tab w:val="right" w:pos="9360"/>
      </w:tabs>
    </w:pPr>
  </w:style>
  <w:style w:type="character" w:customStyle="1" w:styleId="FooterChar">
    <w:name w:val="Footer Char"/>
    <w:basedOn w:val="DefaultParagraphFont"/>
    <w:link w:val="Footer"/>
    <w:uiPriority w:val="99"/>
    <w:rsid w:val="00593227"/>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A: Placebo and randomization considerations</vt:lpstr>
    </vt:vector>
  </TitlesOfParts>
  <Company>TAU</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Placebo and randomization considerations</dc:title>
  <dc:creator>Eshel</dc:creator>
  <cp:lastModifiedBy>user</cp:lastModifiedBy>
  <cp:revision>4</cp:revision>
  <dcterms:created xsi:type="dcterms:W3CDTF">2012-12-07T09:19:00Z</dcterms:created>
  <dcterms:modified xsi:type="dcterms:W3CDTF">2012-12-07T09:33:00Z</dcterms:modified>
</cp:coreProperties>
</file>