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61" w:rsidRPr="002C75B8" w:rsidRDefault="00814E61" w:rsidP="00814E61">
      <w:pPr>
        <w:spacing w:line="480" w:lineRule="auto"/>
        <w:ind w:left="0" w:firstLine="0"/>
        <w:rPr>
          <w:bCs/>
          <w:sz w:val="22"/>
          <w:u w:val="single"/>
          <w:lang w:val="en-US"/>
        </w:rPr>
      </w:pPr>
      <w:smartTag w:uri="urn:schemas-microsoft-com:office:smarttags" w:element="place">
        <w:smartTag w:uri="urn:schemas-microsoft-com:office:smarttags" w:element="country-region">
          <w:r w:rsidRPr="002C75B8">
            <w:rPr>
              <w:b/>
              <w:sz w:val="22"/>
              <w:u w:val="single"/>
              <w:lang w:val="en-US"/>
            </w:rPr>
            <w:t>YEMEN</w:t>
          </w:r>
        </w:smartTag>
      </w:smartTag>
    </w:p>
    <w:p w:rsidR="00814E61" w:rsidRPr="002C75B8" w:rsidRDefault="00814E61" w:rsidP="00814E61">
      <w:pPr>
        <w:spacing w:line="480" w:lineRule="auto"/>
        <w:ind w:left="0" w:firstLine="0"/>
        <w:rPr>
          <w:bCs/>
          <w:sz w:val="22"/>
          <w:lang w:val="en-US"/>
        </w:rPr>
      </w:pPr>
      <w:r>
        <w:rPr>
          <w:bCs/>
          <w:noProof/>
          <w:sz w:val="22"/>
          <w:lang w:val="en-US"/>
        </w:rPr>
        <w:drawing>
          <wp:inline distT="0" distB="0" distL="0" distR="0">
            <wp:extent cx="2446020" cy="164020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46020" cy="1640205"/>
                    </a:xfrm>
                    <a:prstGeom prst="rect">
                      <a:avLst/>
                    </a:prstGeom>
                    <a:noFill/>
                    <a:ln w="9525">
                      <a:noFill/>
                      <a:miter lim="800000"/>
                      <a:headEnd/>
                      <a:tailEnd/>
                    </a:ln>
                    <a:effectLst/>
                  </pic:spPr>
                </pic:pic>
              </a:graphicData>
            </a:graphic>
          </wp:inline>
        </w:drawing>
      </w:r>
    </w:p>
    <w:p w:rsidR="00814E61" w:rsidRPr="002C75B8" w:rsidRDefault="00814E61" w:rsidP="00814E61">
      <w:pPr>
        <w:spacing w:line="480" w:lineRule="auto"/>
        <w:ind w:left="0" w:firstLine="0"/>
        <w:rPr>
          <w:b/>
          <w:sz w:val="22"/>
          <w:lang w:val="en-US"/>
        </w:rPr>
      </w:pPr>
      <w:r w:rsidRPr="002C75B8">
        <w:rPr>
          <w:b/>
          <w:sz w:val="22"/>
          <w:lang w:val="en-US"/>
        </w:rPr>
        <w:t>BASIC COUNTRY DATA</w:t>
      </w:r>
    </w:p>
    <w:p w:rsidR="00814E61" w:rsidRPr="002C75B8" w:rsidRDefault="00814E61" w:rsidP="00814E61">
      <w:pPr>
        <w:ind w:left="0" w:firstLine="0"/>
        <w:rPr>
          <w:bCs/>
          <w:sz w:val="22"/>
          <w:lang w:val="en-US"/>
        </w:rPr>
      </w:pPr>
      <w:r w:rsidRPr="002C75B8">
        <w:rPr>
          <w:bCs/>
          <w:sz w:val="22"/>
          <w:lang w:val="en-US"/>
        </w:rPr>
        <w:t>Total Population: 2</w:t>
      </w:r>
      <w:r>
        <w:rPr>
          <w:bCs/>
          <w:sz w:val="22"/>
          <w:lang w:val="en-US"/>
        </w:rPr>
        <w:t>4,052,514</w:t>
      </w:r>
      <w:r w:rsidRPr="002C75B8">
        <w:rPr>
          <w:bCs/>
          <w:sz w:val="22"/>
          <w:lang w:val="en-US"/>
        </w:rPr>
        <w:t xml:space="preserve"> </w:t>
      </w:r>
    </w:p>
    <w:p w:rsidR="00814E61" w:rsidRPr="002C75B8" w:rsidRDefault="00814E61" w:rsidP="00814E61">
      <w:pPr>
        <w:ind w:left="0" w:firstLine="0"/>
        <w:rPr>
          <w:bCs/>
          <w:sz w:val="22"/>
          <w:lang w:val="en-US"/>
        </w:rPr>
      </w:pPr>
      <w:r w:rsidRPr="002C75B8">
        <w:rPr>
          <w:bCs/>
          <w:sz w:val="22"/>
          <w:lang w:val="en-US"/>
        </w:rPr>
        <w:t>Population 0-14 years: 4</w:t>
      </w:r>
      <w:r>
        <w:rPr>
          <w:bCs/>
          <w:sz w:val="22"/>
          <w:lang w:val="en-US"/>
        </w:rPr>
        <w:t>4</w:t>
      </w:r>
      <w:r w:rsidRPr="002C75B8">
        <w:rPr>
          <w:bCs/>
          <w:sz w:val="22"/>
          <w:lang w:val="en-US"/>
        </w:rPr>
        <w:t xml:space="preserve">% </w:t>
      </w:r>
    </w:p>
    <w:p w:rsidR="00814E61" w:rsidRPr="002C75B8" w:rsidRDefault="00814E61" w:rsidP="00814E61">
      <w:pPr>
        <w:ind w:left="0" w:firstLine="0"/>
        <w:rPr>
          <w:bCs/>
          <w:sz w:val="22"/>
          <w:lang w:val="en-US"/>
        </w:rPr>
      </w:pPr>
      <w:r w:rsidRPr="002C75B8">
        <w:rPr>
          <w:bCs/>
          <w:sz w:val="22"/>
          <w:lang w:val="en-US"/>
        </w:rPr>
        <w:t xml:space="preserve">Rural population: </w:t>
      </w:r>
      <w:r>
        <w:rPr>
          <w:bCs/>
          <w:sz w:val="22"/>
          <w:lang w:val="en-US"/>
        </w:rPr>
        <w:t>68</w:t>
      </w:r>
      <w:r w:rsidRPr="002C75B8">
        <w:rPr>
          <w:bCs/>
          <w:sz w:val="22"/>
          <w:lang w:val="en-US"/>
        </w:rPr>
        <w:t xml:space="preserve">% </w:t>
      </w:r>
    </w:p>
    <w:p w:rsidR="00814E61" w:rsidRPr="002C75B8" w:rsidRDefault="00814E61" w:rsidP="00814E61">
      <w:pPr>
        <w:ind w:left="0" w:firstLine="0"/>
        <w:rPr>
          <w:bCs/>
          <w:sz w:val="22"/>
          <w:lang w:val="en-US"/>
        </w:rPr>
      </w:pPr>
      <w:r w:rsidRPr="002C75B8">
        <w:rPr>
          <w:bCs/>
          <w:sz w:val="22"/>
          <w:lang w:val="en-US"/>
        </w:rPr>
        <w:t>Population living under USD 1</w:t>
      </w:r>
      <w:r>
        <w:rPr>
          <w:bCs/>
          <w:sz w:val="22"/>
          <w:lang w:val="en-US"/>
        </w:rPr>
        <w:t>.</w:t>
      </w:r>
      <w:r w:rsidRPr="002C75B8">
        <w:rPr>
          <w:bCs/>
          <w:sz w:val="22"/>
          <w:lang w:val="en-US"/>
        </w:rPr>
        <w:t>25 a day: 17</w:t>
      </w:r>
      <w:r>
        <w:rPr>
          <w:bCs/>
          <w:sz w:val="22"/>
          <w:lang w:val="en-US"/>
        </w:rPr>
        <w:t>.</w:t>
      </w:r>
      <w:r w:rsidRPr="002C75B8">
        <w:rPr>
          <w:bCs/>
          <w:sz w:val="22"/>
          <w:lang w:val="en-US"/>
        </w:rPr>
        <w:t>5%</w:t>
      </w:r>
    </w:p>
    <w:p w:rsidR="00814E61" w:rsidRPr="002C75B8" w:rsidRDefault="00814E61" w:rsidP="00814E61">
      <w:pPr>
        <w:ind w:left="0" w:firstLine="0"/>
        <w:rPr>
          <w:bCs/>
          <w:sz w:val="22"/>
          <w:lang w:val="en-US"/>
        </w:rPr>
      </w:pPr>
      <w:r w:rsidRPr="002C75B8">
        <w:rPr>
          <w:bCs/>
          <w:sz w:val="22"/>
          <w:lang w:val="en-US"/>
        </w:rPr>
        <w:t xml:space="preserve">Population living under the national poverty line: </w:t>
      </w:r>
      <w:r>
        <w:rPr>
          <w:bCs/>
          <w:sz w:val="22"/>
          <w:lang w:val="en-US"/>
        </w:rPr>
        <w:t>no data</w:t>
      </w:r>
    </w:p>
    <w:p w:rsidR="00814E61" w:rsidRPr="002C75B8" w:rsidRDefault="00814E61" w:rsidP="00814E61">
      <w:pPr>
        <w:ind w:left="0" w:firstLine="0"/>
        <w:rPr>
          <w:bCs/>
          <w:sz w:val="22"/>
          <w:lang w:val="en-US"/>
        </w:rPr>
      </w:pPr>
      <w:r w:rsidRPr="002C75B8">
        <w:rPr>
          <w:bCs/>
          <w:sz w:val="22"/>
          <w:lang w:val="en-US"/>
        </w:rPr>
        <w:t>Income status: Low</w:t>
      </w:r>
      <w:r>
        <w:rPr>
          <w:bCs/>
          <w:sz w:val="22"/>
          <w:lang w:val="en-US"/>
        </w:rPr>
        <w:t>er middle</w:t>
      </w:r>
      <w:r w:rsidRPr="002C75B8">
        <w:rPr>
          <w:bCs/>
          <w:sz w:val="22"/>
          <w:lang w:val="en-US"/>
        </w:rPr>
        <w:t xml:space="preserve"> income economy </w:t>
      </w:r>
    </w:p>
    <w:p w:rsidR="00814E61" w:rsidRPr="002C75B8" w:rsidRDefault="00814E61" w:rsidP="00814E61">
      <w:pPr>
        <w:ind w:left="0" w:firstLine="0"/>
        <w:rPr>
          <w:bCs/>
          <w:sz w:val="22"/>
          <w:lang w:val="en-US"/>
        </w:rPr>
      </w:pPr>
      <w:r w:rsidRPr="002C75B8">
        <w:rPr>
          <w:bCs/>
          <w:sz w:val="22"/>
          <w:lang w:val="en-US"/>
        </w:rPr>
        <w:t xml:space="preserve">Ranking: </w:t>
      </w:r>
      <w:r>
        <w:rPr>
          <w:bCs/>
          <w:sz w:val="22"/>
          <w:lang w:val="en-US"/>
        </w:rPr>
        <w:t>Low</w:t>
      </w:r>
      <w:r w:rsidRPr="002C75B8">
        <w:rPr>
          <w:bCs/>
          <w:sz w:val="22"/>
          <w:lang w:val="en-US"/>
        </w:rPr>
        <w:t xml:space="preserve"> human development (ranking 1</w:t>
      </w:r>
      <w:r>
        <w:rPr>
          <w:bCs/>
          <w:sz w:val="22"/>
          <w:lang w:val="en-US"/>
        </w:rPr>
        <w:t>5</w:t>
      </w:r>
      <w:r w:rsidRPr="002C75B8">
        <w:rPr>
          <w:bCs/>
          <w:sz w:val="22"/>
          <w:lang w:val="en-US"/>
        </w:rPr>
        <w:t>4)</w:t>
      </w:r>
    </w:p>
    <w:p w:rsidR="00814E61" w:rsidRPr="002C75B8" w:rsidRDefault="00814E61" w:rsidP="00814E61">
      <w:pPr>
        <w:ind w:left="0" w:firstLine="0"/>
        <w:rPr>
          <w:bCs/>
          <w:sz w:val="22"/>
          <w:lang w:val="en-US"/>
        </w:rPr>
      </w:pPr>
      <w:r w:rsidRPr="002C75B8">
        <w:rPr>
          <w:bCs/>
          <w:sz w:val="22"/>
          <w:lang w:val="en-US"/>
        </w:rPr>
        <w:t xml:space="preserve">Per capita total expenditure on health at average exchange rate (US dollar): </w:t>
      </w:r>
      <w:r>
        <w:rPr>
          <w:bCs/>
          <w:sz w:val="22"/>
          <w:lang w:val="en-US"/>
        </w:rPr>
        <w:t>64</w:t>
      </w:r>
      <w:r w:rsidRPr="002C75B8">
        <w:rPr>
          <w:bCs/>
          <w:sz w:val="22"/>
          <w:lang w:val="en-US"/>
        </w:rPr>
        <w:t xml:space="preserve"> </w:t>
      </w:r>
    </w:p>
    <w:p w:rsidR="00814E61" w:rsidRPr="002C75B8" w:rsidRDefault="00814E61" w:rsidP="00814E61">
      <w:pPr>
        <w:ind w:left="0" w:firstLine="0"/>
        <w:rPr>
          <w:bCs/>
          <w:sz w:val="22"/>
          <w:lang w:val="en-US"/>
        </w:rPr>
      </w:pPr>
      <w:r w:rsidRPr="002C75B8">
        <w:rPr>
          <w:bCs/>
          <w:sz w:val="22"/>
          <w:lang w:val="en-US"/>
        </w:rPr>
        <w:t>Life expectancy at birth (years): 6</w:t>
      </w:r>
      <w:r>
        <w:rPr>
          <w:bCs/>
          <w:sz w:val="22"/>
          <w:lang w:val="en-US"/>
        </w:rPr>
        <w:t>5</w:t>
      </w:r>
    </w:p>
    <w:p w:rsidR="00814E61" w:rsidRPr="002C75B8" w:rsidRDefault="00814E61" w:rsidP="00814E61">
      <w:pPr>
        <w:ind w:left="0" w:firstLine="0"/>
        <w:rPr>
          <w:bCs/>
          <w:sz w:val="22"/>
          <w:lang w:val="en-US"/>
        </w:rPr>
      </w:pPr>
      <w:r w:rsidRPr="002C75B8">
        <w:rPr>
          <w:bCs/>
          <w:sz w:val="22"/>
          <w:lang w:val="en-US"/>
        </w:rPr>
        <w:t xml:space="preserve">Healthy life expectancy at birth (years): 49 </w:t>
      </w:r>
    </w:p>
    <w:p w:rsidR="00814E61" w:rsidRPr="002C75B8" w:rsidRDefault="00814E61" w:rsidP="00814E61">
      <w:pPr>
        <w:ind w:left="0" w:firstLine="0"/>
        <w:rPr>
          <w:bCs/>
          <w:sz w:val="22"/>
          <w:lang w:val="en-US"/>
        </w:rPr>
      </w:pPr>
    </w:p>
    <w:p w:rsidR="00814E61" w:rsidRPr="002C75B8" w:rsidRDefault="00814E61" w:rsidP="00814E61">
      <w:pPr>
        <w:ind w:left="0" w:firstLine="0"/>
        <w:rPr>
          <w:bCs/>
          <w:sz w:val="22"/>
          <w:lang w:val="en-US"/>
        </w:rPr>
      </w:pPr>
    </w:p>
    <w:p w:rsidR="00814E61" w:rsidRPr="002C75B8" w:rsidRDefault="00814E61" w:rsidP="00814E61">
      <w:pPr>
        <w:spacing w:line="480" w:lineRule="auto"/>
        <w:ind w:left="0" w:firstLine="0"/>
        <w:rPr>
          <w:sz w:val="22"/>
          <w:lang w:val="en-GB"/>
        </w:rPr>
      </w:pPr>
      <w:r w:rsidRPr="002C75B8">
        <w:rPr>
          <w:b/>
          <w:sz w:val="22"/>
          <w:lang w:val="en-US"/>
        </w:rPr>
        <w:t xml:space="preserve">BACKGROUND INFORMATION </w:t>
      </w:r>
    </w:p>
    <w:p w:rsidR="00814E61" w:rsidRPr="002C75B8" w:rsidRDefault="00814E61" w:rsidP="00814E61">
      <w:pPr>
        <w:ind w:left="0" w:firstLine="0"/>
        <w:rPr>
          <w:sz w:val="22"/>
          <w:lang w:val="en-US"/>
        </w:rPr>
      </w:pPr>
      <w:r w:rsidRPr="002C75B8">
        <w:rPr>
          <w:sz w:val="22"/>
          <w:lang w:val="en-US"/>
        </w:rPr>
        <w:t xml:space="preserve">The whole </w:t>
      </w:r>
      <w:r>
        <w:rPr>
          <w:sz w:val="22"/>
          <w:lang w:val="en-US"/>
        </w:rPr>
        <w:t xml:space="preserve">country </w:t>
      </w:r>
      <w:r w:rsidRPr="002C75B8">
        <w:rPr>
          <w:sz w:val="22"/>
          <w:lang w:val="en-US"/>
        </w:rPr>
        <w:t xml:space="preserve">of </w:t>
      </w:r>
      <w:smartTag w:uri="urn:schemas-microsoft-com:office:smarttags" w:element="country-region">
        <w:smartTag w:uri="urn:schemas-microsoft-com:office:smarttags" w:element="place">
          <w:r w:rsidRPr="002C75B8">
            <w:rPr>
              <w:sz w:val="22"/>
              <w:lang w:val="en-US"/>
            </w:rPr>
            <w:t>Yemen</w:t>
          </w:r>
        </w:smartTag>
      </w:smartTag>
      <w:r w:rsidRPr="002C75B8">
        <w:rPr>
          <w:sz w:val="22"/>
          <w:lang w:val="en-US"/>
        </w:rPr>
        <w:t xml:space="preserve"> is endemic for CL, exc</w:t>
      </w:r>
      <w:r>
        <w:rPr>
          <w:sz w:val="22"/>
          <w:lang w:val="en-US"/>
        </w:rPr>
        <w:t>ept for</w:t>
      </w:r>
      <w:r w:rsidRPr="002C75B8">
        <w:rPr>
          <w:sz w:val="22"/>
          <w:lang w:val="en-US"/>
        </w:rPr>
        <w:t xml:space="preserve"> the highlands above </w:t>
      </w:r>
      <w:smartTag w:uri="urn:schemas-microsoft-com:office:smarttags" w:element="metricconverter">
        <w:smartTagPr>
          <w:attr w:name="ProductID" w:val="2300 m"/>
        </w:smartTagPr>
        <w:r w:rsidRPr="002C75B8">
          <w:rPr>
            <w:sz w:val="22"/>
            <w:lang w:val="en-US"/>
          </w:rPr>
          <w:t>2300 m</w:t>
        </w:r>
      </w:smartTag>
      <w:r w:rsidRPr="002C75B8">
        <w:rPr>
          <w:sz w:val="22"/>
          <w:lang w:val="en-US"/>
        </w:rPr>
        <w:t xml:space="preserve">. Both CL caused by </w:t>
      </w:r>
      <w:proofErr w:type="spellStart"/>
      <w:r w:rsidRPr="002C75B8">
        <w:rPr>
          <w:i/>
          <w:iCs/>
          <w:sz w:val="22"/>
          <w:lang w:val="en-US"/>
        </w:rPr>
        <w:t>L.major</w:t>
      </w:r>
      <w:proofErr w:type="spellEnd"/>
      <w:r w:rsidRPr="002C75B8">
        <w:rPr>
          <w:sz w:val="22"/>
          <w:lang w:val="en-US"/>
        </w:rPr>
        <w:t xml:space="preserve"> and CL caused by </w:t>
      </w:r>
      <w:r w:rsidRPr="002C75B8">
        <w:rPr>
          <w:i/>
          <w:iCs/>
          <w:sz w:val="22"/>
          <w:lang w:val="en-US"/>
        </w:rPr>
        <w:t>L. tropica</w:t>
      </w:r>
      <w:r w:rsidRPr="002C75B8">
        <w:rPr>
          <w:sz w:val="22"/>
          <w:lang w:val="en-US"/>
        </w:rPr>
        <w:t xml:space="preserve"> are prevalent. </w:t>
      </w:r>
      <w:r w:rsidRPr="002C75B8">
        <w:rPr>
          <w:i/>
          <w:iCs/>
          <w:sz w:val="22"/>
          <w:lang w:val="en-US"/>
        </w:rPr>
        <w:t>L. tropica</w:t>
      </w:r>
      <w:r w:rsidRPr="002C75B8">
        <w:rPr>
          <w:sz w:val="22"/>
          <w:lang w:val="en-US"/>
        </w:rPr>
        <w:t xml:space="preserve"> is probably the predominant species. In two recent surveys </w:t>
      </w:r>
      <w:r>
        <w:rPr>
          <w:sz w:val="22"/>
          <w:lang w:val="en-US"/>
        </w:rPr>
        <w:t xml:space="preserve">held </w:t>
      </w:r>
      <w:r w:rsidRPr="002C75B8">
        <w:rPr>
          <w:sz w:val="22"/>
          <w:lang w:val="en-US"/>
        </w:rPr>
        <w:t xml:space="preserve">in Yemen the causative parasite was </w:t>
      </w:r>
      <w:proofErr w:type="spellStart"/>
      <w:r w:rsidRPr="002C75B8">
        <w:rPr>
          <w:i/>
          <w:iCs/>
          <w:sz w:val="22"/>
          <w:lang w:val="en-US"/>
        </w:rPr>
        <w:t>L.tropica</w:t>
      </w:r>
      <w:proofErr w:type="spellEnd"/>
      <w:r w:rsidRPr="002C75B8">
        <w:rPr>
          <w:sz w:val="22"/>
          <w:lang w:val="en-US"/>
        </w:rPr>
        <w:t xml:space="preserve"> in around 90% of CL cases </w:t>
      </w:r>
      <w:r>
        <w:rPr>
          <w:sz w:val="22"/>
          <w:lang w:val="en-US"/>
        </w:rPr>
        <w:t>[1</w:t>
      </w:r>
      <w:proofErr w:type="gramStart"/>
      <w:r>
        <w:rPr>
          <w:sz w:val="22"/>
          <w:lang w:val="en-US"/>
        </w:rPr>
        <w:t>,2</w:t>
      </w:r>
      <w:proofErr w:type="gramEnd"/>
      <w:r>
        <w:rPr>
          <w:sz w:val="22"/>
          <w:lang w:val="en-US"/>
        </w:rPr>
        <w:t>]</w:t>
      </w:r>
      <w:r w:rsidRPr="002C75B8">
        <w:rPr>
          <w:sz w:val="22"/>
          <w:lang w:val="en-US"/>
        </w:rPr>
        <w:t>. In 2004, 2 outbreaks were reported, one</w:t>
      </w:r>
      <w:r>
        <w:rPr>
          <w:sz w:val="22"/>
          <w:lang w:val="en-US"/>
        </w:rPr>
        <w:t xml:space="preserve"> of 500 cases</w:t>
      </w:r>
      <w:r w:rsidRPr="002C75B8">
        <w:rPr>
          <w:sz w:val="22"/>
          <w:lang w:val="en-US"/>
        </w:rPr>
        <w:t xml:space="preserve"> in the </w:t>
      </w:r>
      <w:proofErr w:type="spellStart"/>
      <w:r w:rsidRPr="002C75B8">
        <w:rPr>
          <w:sz w:val="22"/>
          <w:lang w:val="en-US"/>
        </w:rPr>
        <w:t>Taiz</w:t>
      </w:r>
      <w:proofErr w:type="spellEnd"/>
      <w:r w:rsidRPr="002C75B8">
        <w:rPr>
          <w:sz w:val="22"/>
          <w:lang w:val="en-US"/>
        </w:rPr>
        <w:t xml:space="preserve"> region</w:t>
      </w:r>
      <w:r>
        <w:rPr>
          <w:sz w:val="22"/>
          <w:lang w:val="en-US"/>
        </w:rPr>
        <w:t>,</w:t>
      </w:r>
      <w:r w:rsidRPr="002C75B8">
        <w:rPr>
          <w:sz w:val="22"/>
          <w:lang w:val="en-US"/>
        </w:rPr>
        <w:t xml:space="preserve"> and another </w:t>
      </w:r>
      <w:r>
        <w:rPr>
          <w:sz w:val="22"/>
          <w:lang w:val="en-US"/>
        </w:rPr>
        <w:t xml:space="preserve">one </w:t>
      </w:r>
      <w:r w:rsidRPr="002C75B8">
        <w:rPr>
          <w:sz w:val="22"/>
          <w:lang w:val="en-US"/>
        </w:rPr>
        <w:t xml:space="preserve">of 900 cases. Leishmaniasis is a highly neglected disease in </w:t>
      </w:r>
      <w:smartTag w:uri="urn:schemas-microsoft-com:office:smarttags" w:element="place">
        <w:smartTag w:uri="urn:schemas-microsoft-com:office:smarttags" w:element="country-region">
          <w:r w:rsidRPr="002C75B8">
            <w:rPr>
              <w:sz w:val="22"/>
              <w:lang w:val="en-US"/>
            </w:rPr>
            <w:t>Yemen</w:t>
          </w:r>
        </w:smartTag>
      </w:smartTag>
      <w:r w:rsidRPr="002C75B8">
        <w:rPr>
          <w:sz w:val="22"/>
          <w:lang w:val="en-US"/>
        </w:rPr>
        <w:t>. Reporting of cases is unreliable and there is very substantial underreporting. In lack of a functioning reporting system in rural areas, all reported cases are from urban areas only. The reporting system does not differentiate between CL and VL. In 2006</w:t>
      </w:r>
      <w:r>
        <w:rPr>
          <w:sz w:val="22"/>
          <w:lang w:val="en-US"/>
        </w:rPr>
        <w:t>,</w:t>
      </w:r>
      <w:r w:rsidRPr="002C75B8">
        <w:rPr>
          <w:sz w:val="22"/>
          <w:lang w:val="en-US"/>
        </w:rPr>
        <w:t xml:space="preserve"> reporting of leishmaniasis was absent. </w:t>
      </w:r>
    </w:p>
    <w:p w:rsidR="00814E61" w:rsidRPr="002C75B8" w:rsidRDefault="00814E61" w:rsidP="00814E61">
      <w:pPr>
        <w:ind w:left="0" w:firstLine="0"/>
        <w:rPr>
          <w:sz w:val="22"/>
          <w:lang w:val="en-US"/>
        </w:rPr>
      </w:pPr>
    </w:p>
    <w:p w:rsidR="00814E61" w:rsidRPr="002C75B8" w:rsidRDefault="00814E61" w:rsidP="00814E61">
      <w:pPr>
        <w:ind w:left="0" w:firstLine="0"/>
        <w:rPr>
          <w:sz w:val="22"/>
          <w:lang w:val="en-US"/>
        </w:rPr>
      </w:pPr>
      <w:r w:rsidRPr="002C75B8">
        <w:rPr>
          <w:sz w:val="22"/>
          <w:lang w:val="en-US"/>
        </w:rPr>
        <w:t xml:space="preserve">VL is rare, and probably substantially underreported. </w:t>
      </w:r>
      <w:proofErr w:type="spellStart"/>
      <w:r w:rsidRPr="002C75B8">
        <w:rPr>
          <w:sz w:val="22"/>
          <w:lang w:val="en-US"/>
        </w:rPr>
        <w:t>Taiz</w:t>
      </w:r>
      <w:proofErr w:type="spellEnd"/>
      <w:r>
        <w:rPr>
          <w:sz w:val="22"/>
          <w:lang w:val="en-US"/>
        </w:rPr>
        <w:t>,</w:t>
      </w:r>
      <w:r w:rsidRPr="002C75B8">
        <w:rPr>
          <w:sz w:val="22"/>
          <w:lang w:val="en-US"/>
        </w:rPr>
        <w:t xml:space="preserve"> </w:t>
      </w:r>
      <w:proofErr w:type="spellStart"/>
      <w:r w:rsidRPr="002C75B8">
        <w:rPr>
          <w:sz w:val="22"/>
          <w:lang w:val="en-US"/>
        </w:rPr>
        <w:t>Lahj</w:t>
      </w:r>
      <w:proofErr w:type="spellEnd"/>
      <w:r w:rsidRPr="002C75B8">
        <w:rPr>
          <w:sz w:val="22"/>
          <w:lang w:val="en-US"/>
        </w:rPr>
        <w:t xml:space="preserve"> and </w:t>
      </w:r>
      <w:proofErr w:type="spellStart"/>
      <w:r w:rsidRPr="002C75B8">
        <w:rPr>
          <w:sz w:val="22"/>
          <w:lang w:val="en-US"/>
        </w:rPr>
        <w:t>Ibb</w:t>
      </w:r>
      <w:proofErr w:type="spellEnd"/>
      <w:r w:rsidRPr="002C75B8">
        <w:rPr>
          <w:sz w:val="22"/>
          <w:lang w:val="en-US"/>
        </w:rPr>
        <w:t xml:space="preserve"> governorates seem the most affected areas.</w:t>
      </w:r>
    </w:p>
    <w:p w:rsidR="00814E61" w:rsidRPr="002C75B8" w:rsidRDefault="00814E61" w:rsidP="00814E61">
      <w:pPr>
        <w:ind w:left="0" w:firstLine="0"/>
        <w:rPr>
          <w:sz w:val="22"/>
          <w:lang w:val="en-US"/>
        </w:rPr>
      </w:pPr>
    </w:p>
    <w:p w:rsidR="00814E61" w:rsidRPr="002C75B8" w:rsidRDefault="00814E61" w:rsidP="00814E61">
      <w:pPr>
        <w:ind w:left="0" w:firstLine="0"/>
        <w:rPr>
          <w:sz w:val="22"/>
          <w:lang w:val="en-US"/>
        </w:rPr>
      </w:pPr>
      <w:r w:rsidRPr="002C75B8">
        <w:rPr>
          <w:i/>
          <w:iCs/>
          <w:sz w:val="22"/>
          <w:lang w:val="en-US"/>
        </w:rPr>
        <w:t>Leishmania</w:t>
      </w:r>
      <w:r w:rsidRPr="002C75B8">
        <w:rPr>
          <w:sz w:val="22"/>
          <w:lang w:val="en-US"/>
        </w:rPr>
        <w:t>/HIV co</w:t>
      </w:r>
      <w:r>
        <w:rPr>
          <w:sz w:val="22"/>
          <w:lang w:val="en-US"/>
        </w:rPr>
        <w:t>-</w:t>
      </w:r>
      <w:r w:rsidRPr="002C75B8">
        <w:rPr>
          <w:sz w:val="22"/>
          <w:lang w:val="en-US"/>
        </w:rPr>
        <w:t>infection has not been reported.</w:t>
      </w:r>
    </w:p>
    <w:p w:rsidR="00814E61" w:rsidRPr="002C75B8" w:rsidRDefault="00814E61" w:rsidP="00814E61">
      <w:pPr>
        <w:ind w:left="0" w:firstLine="0"/>
        <w:rPr>
          <w:sz w:val="22"/>
          <w:lang w:val="en-GB"/>
        </w:rPr>
      </w:pPr>
    </w:p>
    <w:p w:rsidR="00814E61" w:rsidRDefault="00814E61" w:rsidP="00814E61">
      <w:pPr>
        <w:ind w:left="0" w:firstLine="0"/>
        <w:rPr>
          <w:sz w:val="22"/>
          <w:lang w:val="en-GB"/>
        </w:rPr>
      </w:pPr>
    </w:p>
    <w:p w:rsidR="00814E61" w:rsidRDefault="00814E61" w:rsidP="00814E61">
      <w:pPr>
        <w:ind w:left="0" w:firstLine="0"/>
        <w:rPr>
          <w:sz w:val="22"/>
          <w:lang w:val="en-GB"/>
        </w:rPr>
      </w:pPr>
    </w:p>
    <w:p w:rsidR="00814E61" w:rsidRDefault="00814E61" w:rsidP="00814E61">
      <w:pPr>
        <w:ind w:left="0" w:firstLine="0"/>
        <w:rPr>
          <w:sz w:val="22"/>
          <w:lang w:val="en-GB"/>
        </w:rPr>
      </w:pPr>
    </w:p>
    <w:p w:rsidR="00814E61" w:rsidRDefault="00814E61" w:rsidP="00814E61">
      <w:pPr>
        <w:ind w:left="0" w:firstLine="0"/>
        <w:rPr>
          <w:sz w:val="22"/>
          <w:lang w:val="en-GB"/>
        </w:rPr>
      </w:pPr>
    </w:p>
    <w:p w:rsidR="00814E61"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Default="00814E61" w:rsidP="00814E61">
      <w:pPr>
        <w:ind w:left="0" w:firstLine="0"/>
        <w:rPr>
          <w:b/>
          <w:bCs/>
          <w:sz w:val="22"/>
          <w:lang w:val="en-GB"/>
        </w:rPr>
      </w:pPr>
    </w:p>
    <w:p w:rsidR="00814E61" w:rsidRPr="002C75B8" w:rsidRDefault="00814E61" w:rsidP="00814E61">
      <w:pPr>
        <w:ind w:left="0" w:firstLine="0"/>
        <w:rPr>
          <w:sz w:val="22"/>
          <w:lang w:val="en-GB"/>
        </w:rPr>
      </w:pPr>
      <w:r w:rsidRPr="002C75B8">
        <w:rPr>
          <w:b/>
          <w:bCs/>
          <w:sz w:val="22"/>
          <w:lang w:val="en-GB"/>
        </w:rPr>
        <w:lastRenderedPageBreak/>
        <w:t>PARASITOLOGICAL INFORMATION</w:t>
      </w:r>
    </w:p>
    <w:p w:rsidR="00814E61" w:rsidRDefault="00814E61" w:rsidP="00814E61">
      <w:pPr>
        <w:ind w:left="0" w:firstLine="0"/>
        <w:rPr>
          <w:b/>
          <w:bCs/>
          <w:sz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758"/>
        <w:gridCol w:w="2863"/>
        <w:gridCol w:w="2311"/>
      </w:tblGrid>
      <w:tr w:rsidR="00814E61" w:rsidRPr="002C75B8" w:rsidTr="00A7768B">
        <w:trPr>
          <w:jc w:val="center"/>
        </w:trPr>
        <w:tc>
          <w:tcPr>
            <w:tcW w:w="2310" w:type="dxa"/>
            <w:vAlign w:val="center"/>
          </w:tcPr>
          <w:p w:rsidR="00814E61" w:rsidRPr="002C75B8" w:rsidRDefault="00814E61" w:rsidP="00A7768B">
            <w:pPr>
              <w:ind w:left="0" w:firstLine="0"/>
              <w:jc w:val="center"/>
              <w:rPr>
                <w:sz w:val="22"/>
              </w:rPr>
            </w:pPr>
            <w:r w:rsidRPr="002C75B8">
              <w:rPr>
                <w:b/>
                <w:bCs/>
                <w:i/>
                <w:iCs/>
                <w:sz w:val="22"/>
              </w:rPr>
              <w:t xml:space="preserve">Leishmania </w:t>
            </w:r>
            <w:proofErr w:type="spellStart"/>
            <w:r w:rsidRPr="002C75B8">
              <w:rPr>
                <w:b/>
                <w:bCs/>
                <w:sz w:val="22"/>
              </w:rPr>
              <w:t>species</w:t>
            </w:r>
            <w:proofErr w:type="spellEnd"/>
          </w:p>
        </w:tc>
        <w:tc>
          <w:tcPr>
            <w:tcW w:w="1758" w:type="dxa"/>
            <w:vAlign w:val="center"/>
          </w:tcPr>
          <w:p w:rsidR="00814E61" w:rsidRPr="002C75B8" w:rsidRDefault="00814E61" w:rsidP="00A7768B">
            <w:pPr>
              <w:ind w:left="0" w:firstLine="0"/>
              <w:jc w:val="center"/>
              <w:rPr>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863" w:type="dxa"/>
            <w:vAlign w:val="center"/>
          </w:tcPr>
          <w:p w:rsidR="00814E61" w:rsidRPr="002C75B8" w:rsidRDefault="00814E61" w:rsidP="00A7768B">
            <w:pPr>
              <w:ind w:left="0" w:firstLine="0"/>
              <w:jc w:val="center"/>
              <w:rPr>
                <w:sz w:val="22"/>
              </w:rPr>
            </w:pPr>
            <w:r w:rsidRPr="002C75B8">
              <w:rPr>
                <w:b/>
                <w:bCs/>
                <w:sz w:val="22"/>
              </w:rPr>
              <w:t xml:space="preserve">Vector </w:t>
            </w:r>
            <w:proofErr w:type="spellStart"/>
            <w:r w:rsidRPr="002C75B8">
              <w:rPr>
                <w:b/>
                <w:bCs/>
                <w:sz w:val="22"/>
              </w:rPr>
              <w:t>species</w:t>
            </w:r>
            <w:proofErr w:type="spellEnd"/>
          </w:p>
        </w:tc>
        <w:tc>
          <w:tcPr>
            <w:tcW w:w="2311" w:type="dxa"/>
            <w:vAlign w:val="center"/>
          </w:tcPr>
          <w:p w:rsidR="00814E61" w:rsidRPr="002C75B8" w:rsidRDefault="00814E61" w:rsidP="00A7768B">
            <w:pPr>
              <w:ind w:left="0" w:firstLine="0"/>
              <w:jc w:val="center"/>
              <w:rPr>
                <w:sz w:val="22"/>
              </w:rPr>
            </w:pPr>
            <w:proofErr w:type="spellStart"/>
            <w:r w:rsidRPr="002C75B8">
              <w:rPr>
                <w:b/>
                <w:bCs/>
                <w:sz w:val="22"/>
              </w:rPr>
              <w:t>Reservoirs</w:t>
            </w:r>
            <w:proofErr w:type="spellEnd"/>
          </w:p>
        </w:tc>
      </w:tr>
      <w:tr w:rsidR="00814E61" w:rsidRPr="002C75B8" w:rsidTr="00A7768B">
        <w:trPr>
          <w:jc w:val="center"/>
        </w:trPr>
        <w:tc>
          <w:tcPr>
            <w:tcW w:w="2310" w:type="dxa"/>
            <w:vAlign w:val="center"/>
          </w:tcPr>
          <w:p w:rsidR="00814E61" w:rsidRPr="002C75B8" w:rsidRDefault="00814E61"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hAnsi="Arial" w:cs="Arial"/>
                <w:i/>
                <w:iCs/>
                <w:color w:val="000000"/>
                <w:kern w:val="24"/>
                <w:sz w:val="22"/>
                <w:szCs w:val="22"/>
              </w:rPr>
              <w:t>L. infantum</w:t>
            </w:r>
          </w:p>
        </w:tc>
        <w:tc>
          <w:tcPr>
            <w:tcW w:w="1758" w:type="dxa"/>
            <w:vAlign w:val="center"/>
          </w:tcPr>
          <w:p w:rsidR="00814E61" w:rsidRPr="002C75B8" w:rsidRDefault="00814E61"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hAnsi="Arial" w:cs="Arial"/>
                <w:color w:val="000000"/>
                <w:kern w:val="24"/>
                <w:sz w:val="22"/>
                <w:szCs w:val="22"/>
              </w:rPr>
              <w:t>ZVL</w:t>
            </w:r>
          </w:p>
        </w:tc>
        <w:tc>
          <w:tcPr>
            <w:tcW w:w="2863" w:type="dxa"/>
            <w:vAlign w:val="center"/>
          </w:tcPr>
          <w:p w:rsidR="00814E61" w:rsidRPr="00011393" w:rsidRDefault="00814E61" w:rsidP="00A7768B">
            <w:pPr>
              <w:pStyle w:val="NormalWeb"/>
              <w:spacing w:before="0" w:beforeAutospacing="0" w:after="0" w:afterAutospacing="0" w:line="275" w:lineRule="atLeast"/>
              <w:jc w:val="center"/>
              <w:textAlignment w:val="baseline"/>
              <w:rPr>
                <w:rFonts w:ascii="Arial" w:hAnsi="Arial" w:cs="Arial"/>
                <w:sz w:val="22"/>
                <w:szCs w:val="22"/>
              </w:rPr>
            </w:pPr>
            <w:r w:rsidRPr="00011393">
              <w:rPr>
                <w:rFonts w:ascii="Arial" w:hAnsi="Arial" w:cs="Arial"/>
                <w:color w:val="000000"/>
                <w:kern w:val="24"/>
                <w:sz w:val="22"/>
                <w:szCs w:val="22"/>
              </w:rPr>
              <w:t>unknown</w:t>
            </w:r>
          </w:p>
        </w:tc>
        <w:tc>
          <w:tcPr>
            <w:tcW w:w="2311" w:type="dxa"/>
            <w:vAlign w:val="center"/>
          </w:tcPr>
          <w:p w:rsidR="00814E61" w:rsidRPr="00011393" w:rsidRDefault="00814E61" w:rsidP="00A7768B">
            <w:pPr>
              <w:pStyle w:val="NormalWeb"/>
              <w:spacing w:before="0" w:beforeAutospacing="0" w:after="0" w:afterAutospacing="0" w:line="275" w:lineRule="atLeast"/>
              <w:jc w:val="center"/>
              <w:textAlignment w:val="baseline"/>
              <w:rPr>
                <w:rFonts w:ascii="Arial" w:hAnsi="Arial" w:cs="Arial"/>
                <w:i/>
                <w:iCs/>
                <w:sz w:val="22"/>
                <w:szCs w:val="22"/>
              </w:rPr>
            </w:pPr>
            <w:proofErr w:type="spellStart"/>
            <w:r w:rsidRPr="00011393">
              <w:rPr>
                <w:rFonts w:ascii="Arial" w:hAnsi="Arial" w:cs="Arial"/>
                <w:i/>
                <w:iCs/>
                <w:color w:val="000000"/>
                <w:kern w:val="24"/>
                <w:sz w:val="22"/>
                <w:szCs w:val="22"/>
              </w:rPr>
              <w:t>Canis</w:t>
            </w:r>
            <w:proofErr w:type="spellEnd"/>
            <w:r w:rsidRPr="00011393">
              <w:rPr>
                <w:rFonts w:ascii="Arial" w:hAnsi="Arial" w:cs="Arial"/>
                <w:i/>
                <w:iCs/>
                <w:color w:val="000000"/>
                <w:kern w:val="24"/>
                <w:sz w:val="22"/>
                <w:szCs w:val="22"/>
              </w:rPr>
              <w:t xml:space="preserve"> </w:t>
            </w:r>
            <w:proofErr w:type="spellStart"/>
            <w:r w:rsidRPr="00011393">
              <w:rPr>
                <w:rFonts w:ascii="Arial" w:hAnsi="Arial" w:cs="Arial"/>
                <w:i/>
                <w:iCs/>
                <w:color w:val="000000"/>
                <w:kern w:val="24"/>
                <w:sz w:val="22"/>
                <w:szCs w:val="22"/>
              </w:rPr>
              <w:t>familiaris</w:t>
            </w:r>
            <w:proofErr w:type="spellEnd"/>
          </w:p>
        </w:tc>
      </w:tr>
      <w:tr w:rsidR="00814E61" w:rsidRPr="00011393" w:rsidTr="00A7768B">
        <w:trPr>
          <w:jc w:val="center"/>
        </w:trPr>
        <w:tc>
          <w:tcPr>
            <w:tcW w:w="2310" w:type="dxa"/>
            <w:vAlign w:val="center"/>
          </w:tcPr>
          <w:p w:rsidR="00814E61" w:rsidRPr="002C75B8" w:rsidRDefault="00814E61" w:rsidP="00A7768B">
            <w:pPr>
              <w:pStyle w:val="NormalWeb"/>
              <w:spacing w:before="0" w:beforeAutospacing="0" w:after="0" w:afterAutospacing="0" w:line="313" w:lineRule="atLeast"/>
              <w:jc w:val="center"/>
              <w:textAlignment w:val="baseline"/>
              <w:rPr>
                <w:rFonts w:ascii="Arial" w:hAnsi="Arial" w:cs="Arial"/>
                <w:i/>
                <w:iCs/>
                <w:color w:val="000000"/>
                <w:kern w:val="24"/>
                <w:sz w:val="22"/>
                <w:szCs w:val="22"/>
              </w:rPr>
            </w:pPr>
            <w:r>
              <w:rPr>
                <w:rFonts w:ascii="Arial" w:hAnsi="Arial" w:cs="Arial"/>
                <w:i/>
                <w:iCs/>
                <w:color w:val="000000"/>
                <w:kern w:val="24"/>
                <w:sz w:val="22"/>
                <w:szCs w:val="22"/>
              </w:rPr>
              <w:t>L. donovani</w:t>
            </w:r>
          </w:p>
        </w:tc>
        <w:tc>
          <w:tcPr>
            <w:tcW w:w="1758" w:type="dxa"/>
            <w:vAlign w:val="center"/>
          </w:tcPr>
          <w:p w:rsidR="00814E61" w:rsidRPr="002C75B8" w:rsidRDefault="00814E61" w:rsidP="00A7768B">
            <w:pPr>
              <w:pStyle w:val="NormalWeb"/>
              <w:spacing w:before="0" w:beforeAutospacing="0" w:after="0" w:afterAutospacing="0" w:line="313" w:lineRule="atLeast"/>
              <w:jc w:val="center"/>
              <w:textAlignment w:val="baseline"/>
              <w:rPr>
                <w:rFonts w:ascii="Arial" w:hAnsi="Arial" w:cs="Arial"/>
                <w:color w:val="000000"/>
                <w:kern w:val="24"/>
                <w:sz w:val="22"/>
                <w:szCs w:val="22"/>
              </w:rPr>
            </w:pPr>
            <w:r>
              <w:rPr>
                <w:rFonts w:ascii="Arial" w:hAnsi="Arial" w:cs="Arial"/>
                <w:color w:val="000000"/>
                <w:kern w:val="24"/>
                <w:sz w:val="22"/>
                <w:szCs w:val="22"/>
              </w:rPr>
              <w:t>AVL</w:t>
            </w:r>
          </w:p>
        </w:tc>
        <w:tc>
          <w:tcPr>
            <w:tcW w:w="2863" w:type="dxa"/>
            <w:vAlign w:val="center"/>
          </w:tcPr>
          <w:p w:rsidR="00814E61" w:rsidRPr="002C75B8" w:rsidRDefault="00814E61" w:rsidP="00A7768B">
            <w:pPr>
              <w:pStyle w:val="NormalWeb"/>
              <w:spacing w:before="0" w:beforeAutospacing="0" w:after="0" w:afterAutospacing="0" w:line="313" w:lineRule="atLeast"/>
              <w:jc w:val="center"/>
              <w:textAlignment w:val="baseline"/>
              <w:rPr>
                <w:rFonts w:ascii="Arial" w:hAnsi="Arial" w:cs="Arial"/>
                <w:i/>
                <w:iCs/>
                <w:color w:val="000000"/>
                <w:kern w:val="24"/>
                <w:sz w:val="22"/>
                <w:szCs w:val="22"/>
              </w:rPr>
            </w:pPr>
            <w:r>
              <w:rPr>
                <w:rFonts w:ascii="Arial" w:hAnsi="Arial" w:cs="Arial"/>
                <w:i/>
                <w:iCs/>
                <w:color w:val="000000"/>
                <w:kern w:val="24"/>
                <w:sz w:val="22"/>
                <w:szCs w:val="22"/>
              </w:rPr>
              <w:t xml:space="preserve">P. </w:t>
            </w:r>
            <w:proofErr w:type="spellStart"/>
            <w:r>
              <w:rPr>
                <w:rFonts w:ascii="Arial" w:hAnsi="Arial" w:cs="Arial"/>
                <w:i/>
                <w:iCs/>
                <w:color w:val="000000"/>
                <w:kern w:val="24"/>
                <w:sz w:val="22"/>
                <w:szCs w:val="22"/>
              </w:rPr>
              <w:t>orientalis</w:t>
            </w:r>
            <w:proofErr w:type="spellEnd"/>
          </w:p>
        </w:tc>
        <w:tc>
          <w:tcPr>
            <w:tcW w:w="2311" w:type="dxa"/>
            <w:vAlign w:val="center"/>
          </w:tcPr>
          <w:p w:rsidR="00814E61" w:rsidRPr="002C75B8" w:rsidRDefault="00814E61" w:rsidP="00A7768B">
            <w:pPr>
              <w:pStyle w:val="NormalWeb"/>
              <w:spacing w:before="0" w:beforeAutospacing="0" w:after="0" w:afterAutospacing="0" w:line="313" w:lineRule="atLeast"/>
              <w:jc w:val="center"/>
              <w:textAlignment w:val="baseline"/>
              <w:rPr>
                <w:rFonts w:ascii="Arial" w:hAnsi="Arial" w:cs="Arial"/>
                <w:i/>
                <w:iCs/>
                <w:color w:val="000000"/>
                <w:kern w:val="24"/>
                <w:sz w:val="22"/>
                <w:szCs w:val="22"/>
              </w:rPr>
            </w:pPr>
          </w:p>
        </w:tc>
      </w:tr>
      <w:tr w:rsidR="00814E61" w:rsidRPr="00011393" w:rsidTr="00A7768B">
        <w:trPr>
          <w:jc w:val="center"/>
        </w:trPr>
        <w:tc>
          <w:tcPr>
            <w:tcW w:w="2310" w:type="dxa"/>
            <w:vAlign w:val="center"/>
          </w:tcPr>
          <w:p w:rsidR="00814E61" w:rsidRPr="002C75B8" w:rsidRDefault="00814E61" w:rsidP="00A7768B">
            <w:pPr>
              <w:pStyle w:val="NormalWeb"/>
              <w:spacing w:before="0" w:beforeAutospacing="0" w:after="0" w:afterAutospacing="0"/>
              <w:jc w:val="center"/>
              <w:textAlignment w:val="baseline"/>
              <w:rPr>
                <w:rFonts w:ascii="Arial" w:hAnsi="Arial" w:cs="Arial"/>
                <w:sz w:val="22"/>
                <w:szCs w:val="22"/>
              </w:rPr>
            </w:pPr>
            <w:r w:rsidRPr="002C75B8">
              <w:rPr>
                <w:rFonts w:ascii="Arial" w:hAnsi="Arial" w:cs="Arial"/>
                <w:i/>
                <w:iCs/>
                <w:color w:val="000000"/>
                <w:kern w:val="24"/>
                <w:sz w:val="22"/>
                <w:szCs w:val="22"/>
              </w:rPr>
              <w:t>L. major</w:t>
            </w:r>
          </w:p>
        </w:tc>
        <w:tc>
          <w:tcPr>
            <w:tcW w:w="1758" w:type="dxa"/>
            <w:vAlign w:val="center"/>
          </w:tcPr>
          <w:p w:rsidR="00814E61" w:rsidRPr="002C75B8" w:rsidRDefault="00814E61" w:rsidP="00A7768B">
            <w:pPr>
              <w:pStyle w:val="NormalWeb"/>
              <w:spacing w:before="0" w:beforeAutospacing="0" w:after="0" w:afterAutospacing="0"/>
              <w:jc w:val="center"/>
              <w:textAlignment w:val="baseline"/>
              <w:rPr>
                <w:rFonts w:ascii="Arial" w:hAnsi="Arial" w:cs="Arial"/>
                <w:sz w:val="22"/>
                <w:szCs w:val="22"/>
              </w:rPr>
            </w:pPr>
            <w:r>
              <w:rPr>
                <w:rFonts w:ascii="Arial" w:hAnsi="Arial" w:cs="Arial"/>
                <w:color w:val="000000"/>
                <w:kern w:val="24"/>
                <w:sz w:val="22"/>
                <w:szCs w:val="22"/>
              </w:rPr>
              <w:t>Z</w:t>
            </w:r>
            <w:r w:rsidRPr="002C75B8">
              <w:rPr>
                <w:rFonts w:ascii="Arial" w:hAnsi="Arial" w:cs="Arial"/>
                <w:color w:val="000000"/>
                <w:kern w:val="24"/>
                <w:sz w:val="22"/>
                <w:szCs w:val="22"/>
              </w:rPr>
              <w:t>CL</w:t>
            </w:r>
          </w:p>
        </w:tc>
        <w:tc>
          <w:tcPr>
            <w:tcW w:w="2863" w:type="dxa"/>
            <w:vAlign w:val="center"/>
          </w:tcPr>
          <w:p w:rsidR="00814E61" w:rsidRPr="00011393" w:rsidRDefault="00814E61" w:rsidP="00A7768B">
            <w:pPr>
              <w:autoSpaceDE w:val="0"/>
              <w:autoSpaceDN w:val="0"/>
              <w:adjustRightInd w:val="0"/>
              <w:ind w:left="0" w:hanging="36"/>
              <w:rPr>
                <w:i/>
                <w:iCs/>
                <w:color w:val="000000"/>
                <w:sz w:val="22"/>
                <w:lang w:val="it-IT"/>
              </w:rPr>
            </w:pPr>
            <w:r w:rsidRPr="00011393">
              <w:rPr>
                <w:i/>
                <w:iCs/>
                <w:color w:val="000000"/>
                <w:sz w:val="22"/>
                <w:lang w:val="it-IT"/>
              </w:rPr>
              <w:t>P. bergeroti, P. duboscqi,</w:t>
            </w:r>
          </w:p>
          <w:p w:rsidR="00814E61" w:rsidRPr="00011393" w:rsidRDefault="00814E61" w:rsidP="00A7768B">
            <w:pPr>
              <w:pStyle w:val="NormalWeb"/>
              <w:spacing w:before="0" w:beforeAutospacing="0" w:after="0" w:afterAutospacing="0"/>
              <w:jc w:val="center"/>
              <w:textAlignment w:val="baseline"/>
              <w:rPr>
                <w:rFonts w:ascii="Arial" w:hAnsi="Arial" w:cs="Arial"/>
                <w:sz w:val="22"/>
                <w:szCs w:val="22"/>
                <w:lang w:val="it-IT"/>
              </w:rPr>
            </w:pPr>
            <w:r w:rsidRPr="00011393">
              <w:rPr>
                <w:rFonts w:ascii="Arial" w:hAnsi="Arial" w:cs="Arial"/>
                <w:i/>
                <w:iCs/>
                <w:color w:val="000000"/>
                <w:kern w:val="24"/>
                <w:sz w:val="22"/>
                <w:szCs w:val="22"/>
                <w:lang w:val="it-IT"/>
              </w:rPr>
              <w:t>P. papatasi</w:t>
            </w:r>
          </w:p>
        </w:tc>
        <w:tc>
          <w:tcPr>
            <w:tcW w:w="2311" w:type="dxa"/>
            <w:vAlign w:val="center"/>
          </w:tcPr>
          <w:p w:rsidR="00814E61" w:rsidRPr="00011393" w:rsidRDefault="00814E61" w:rsidP="00A7768B">
            <w:pPr>
              <w:pStyle w:val="NormalWeb"/>
              <w:spacing w:before="0" w:beforeAutospacing="0" w:after="0" w:afterAutospacing="0"/>
              <w:jc w:val="center"/>
              <w:textAlignment w:val="baseline"/>
              <w:rPr>
                <w:rFonts w:ascii="Arial" w:hAnsi="Arial" w:cs="Arial"/>
                <w:sz w:val="22"/>
                <w:szCs w:val="22"/>
              </w:rPr>
            </w:pPr>
            <w:r w:rsidRPr="00011393">
              <w:rPr>
                <w:rFonts w:ascii="Arial" w:hAnsi="Arial" w:cs="Arial"/>
                <w:color w:val="000000"/>
                <w:kern w:val="24"/>
                <w:sz w:val="22"/>
                <w:szCs w:val="22"/>
              </w:rPr>
              <w:t>unknown</w:t>
            </w:r>
          </w:p>
        </w:tc>
      </w:tr>
      <w:tr w:rsidR="00814E61" w:rsidRPr="00011393" w:rsidTr="00A7768B">
        <w:trPr>
          <w:jc w:val="center"/>
        </w:trPr>
        <w:tc>
          <w:tcPr>
            <w:tcW w:w="2310" w:type="dxa"/>
            <w:vAlign w:val="center"/>
          </w:tcPr>
          <w:p w:rsidR="00814E61" w:rsidRPr="002C75B8" w:rsidRDefault="00814E61"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i/>
                <w:iCs/>
                <w:color w:val="000000"/>
                <w:kern w:val="24"/>
                <w:sz w:val="22"/>
                <w:szCs w:val="22"/>
              </w:rPr>
              <w:t>L. tropica</w:t>
            </w:r>
          </w:p>
        </w:tc>
        <w:tc>
          <w:tcPr>
            <w:tcW w:w="1758" w:type="dxa"/>
            <w:vAlign w:val="center"/>
          </w:tcPr>
          <w:p w:rsidR="00814E61" w:rsidRPr="002C75B8" w:rsidRDefault="00814E61"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ACL</w:t>
            </w:r>
          </w:p>
        </w:tc>
        <w:tc>
          <w:tcPr>
            <w:tcW w:w="2863" w:type="dxa"/>
            <w:vAlign w:val="center"/>
          </w:tcPr>
          <w:p w:rsidR="00814E61" w:rsidRPr="002C75B8" w:rsidRDefault="00814E61"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i/>
                <w:iCs/>
                <w:color w:val="000000"/>
                <w:kern w:val="24"/>
                <w:sz w:val="22"/>
                <w:szCs w:val="22"/>
              </w:rPr>
              <w:t xml:space="preserve">P. </w:t>
            </w:r>
            <w:proofErr w:type="spellStart"/>
            <w:r w:rsidRPr="002C75B8">
              <w:rPr>
                <w:rFonts w:ascii="Arial" w:hAnsi="Arial" w:cs="Arial"/>
                <w:i/>
                <w:iCs/>
                <w:color w:val="000000"/>
                <w:kern w:val="24"/>
                <w:sz w:val="22"/>
                <w:szCs w:val="22"/>
              </w:rPr>
              <w:t>sergenti</w:t>
            </w:r>
            <w:proofErr w:type="spellEnd"/>
          </w:p>
        </w:tc>
        <w:tc>
          <w:tcPr>
            <w:tcW w:w="2311" w:type="dxa"/>
            <w:vAlign w:val="center"/>
          </w:tcPr>
          <w:p w:rsidR="00814E61" w:rsidRPr="002C75B8" w:rsidRDefault="00814E61" w:rsidP="00A7768B">
            <w:pPr>
              <w:pStyle w:val="NormalWeb"/>
              <w:spacing w:before="0" w:beforeAutospacing="0" w:after="0" w:afterAutospacing="0" w:line="313" w:lineRule="atLeast"/>
              <w:jc w:val="center"/>
              <w:textAlignment w:val="baseline"/>
              <w:rPr>
                <w:rFonts w:ascii="Arial" w:hAnsi="Arial" w:cs="Arial"/>
                <w:sz w:val="22"/>
                <w:szCs w:val="22"/>
              </w:rPr>
            </w:pPr>
          </w:p>
        </w:tc>
      </w:tr>
    </w:tbl>
    <w:p w:rsidR="00814E61" w:rsidRDefault="00814E61" w:rsidP="00814E61">
      <w:pPr>
        <w:ind w:left="0" w:firstLine="0"/>
        <w:rPr>
          <w:b/>
          <w:bCs/>
          <w:sz w:val="22"/>
          <w:lang w:val="en-GB"/>
        </w:rPr>
      </w:pPr>
    </w:p>
    <w:p w:rsidR="00814E61" w:rsidRDefault="00814E61" w:rsidP="00814E61">
      <w:pPr>
        <w:ind w:left="0" w:firstLine="0"/>
        <w:rPr>
          <w:b/>
          <w:bCs/>
          <w:sz w:val="22"/>
          <w:lang w:val="en-GB"/>
        </w:rPr>
      </w:pPr>
    </w:p>
    <w:p w:rsidR="00814E61" w:rsidRPr="002C75B8" w:rsidRDefault="00814E61" w:rsidP="00814E61">
      <w:pPr>
        <w:ind w:left="0" w:firstLine="0"/>
        <w:rPr>
          <w:b/>
          <w:bCs/>
          <w:sz w:val="22"/>
          <w:lang w:val="en-GB"/>
        </w:rPr>
      </w:pPr>
      <w:r w:rsidRPr="002C75B8">
        <w:rPr>
          <w:b/>
          <w:bCs/>
          <w:sz w:val="22"/>
          <w:lang w:val="en-GB"/>
        </w:rPr>
        <w:t xml:space="preserve">MAPS AND TRENDS   </w:t>
      </w:r>
    </w:p>
    <w:p w:rsidR="00814E61" w:rsidRPr="002C75B8" w:rsidRDefault="00814E61" w:rsidP="00814E61">
      <w:pPr>
        <w:ind w:left="0" w:firstLine="0"/>
        <w:rPr>
          <w:b/>
          <w:bCs/>
          <w:sz w:val="22"/>
          <w:lang w:val="en-GB"/>
        </w:rPr>
      </w:pPr>
    </w:p>
    <w:p w:rsidR="00814E61" w:rsidRDefault="00814E61" w:rsidP="00814E61">
      <w:pPr>
        <w:ind w:left="0" w:firstLine="0"/>
        <w:rPr>
          <w:b/>
          <w:bCs/>
          <w:sz w:val="22"/>
          <w:lang w:val="en-GB"/>
        </w:rPr>
      </w:pPr>
      <w:r>
        <w:rPr>
          <w:b/>
          <w:bCs/>
          <w:sz w:val="22"/>
          <w:lang w:val="en-GB"/>
        </w:rPr>
        <w:t>Visceral leishmaniasis</w:t>
      </w:r>
    </w:p>
    <w:p w:rsidR="00814E61" w:rsidRPr="00BC57E3" w:rsidRDefault="00814E61" w:rsidP="00814E61">
      <w:pPr>
        <w:ind w:left="0" w:firstLine="0"/>
        <w:rPr>
          <w:b/>
          <w:bCs/>
          <w:sz w:val="22"/>
          <w:lang w:val="en-GB"/>
        </w:rPr>
      </w:pPr>
      <w:r>
        <w:rPr>
          <w:b/>
          <w:bCs/>
          <w:noProof/>
          <w:sz w:val="22"/>
          <w:lang w:val="en-US"/>
        </w:rPr>
        <w:drawing>
          <wp:inline distT="0" distB="0" distL="0" distR="0">
            <wp:extent cx="2854325" cy="2011680"/>
            <wp:effectExtent l="19050" t="0" r="3175" b="0"/>
            <wp:docPr id="2" name="Picture 2" descr="YE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VLmod2"/>
                    <pic:cNvPicPr>
                      <a:picLocks noChangeAspect="1" noChangeArrowheads="1"/>
                    </pic:cNvPicPr>
                  </pic:nvPicPr>
                  <pic:blipFill>
                    <a:blip r:embed="rId6" cstate="print"/>
                    <a:srcRect/>
                    <a:stretch>
                      <a:fillRect/>
                    </a:stretch>
                  </pic:blipFill>
                  <pic:spPr bwMode="auto">
                    <a:xfrm>
                      <a:off x="0" y="0"/>
                      <a:ext cx="2854325" cy="2011680"/>
                    </a:xfrm>
                    <a:prstGeom prst="rect">
                      <a:avLst/>
                    </a:prstGeom>
                    <a:noFill/>
                    <a:ln w="9525">
                      <a:noFill/>
                      <a:miter lim="800000"/>
                      <a:headEnd/>
                      <a:tailEnd/>
                    </a:ln>
                  </pic:spPr>
                </pic:pic>
              </a:graphicData>
            </a:graphic>
          </wp:inline>
        </w:drawing>
      </w:r>
    </w:p>
    <w:p w:rsidR="00814E61" w:rsidRDefault="00814E61" w:rsidP="00814E61">
      <w:pPr>
        <w:ind w:left="0" w:firstLine="0"/>
        <w:rPr>
          <w:b/>
          <w:bCs/>
          <w:sz w:val="22"/>
          <w:lang w:val="en-GB"/>
        </w:rPr>
      </w:pPr>
    </w:p>
    <w:p w:rsidR="00814E61" w:rsidRPr="002C75B8" w:rsidRDefault="00814E61" w:rsidP="00814E61">
      <w:pPr>
        <w:ind w:left="0" w:firstLine="0"/>
        <w:rPr>
          <w:b/>
          <w:bCs/>
          <w:sz w:val="22"/>
          <w:lang w:val="en-GB"/>
        </w:rPr>
      </w:pPr>
      <w:r>
        <w:rPr>
          <w:b/>
          <w:bCs/>
          <w:sz w:val="22"/>
          <w:lang w:val="en-GB"/>
        </w:rPr>
        <w:t>Cutaneous leishmaniasis</w:t>
      </w:r>
    </w:p>
    <w:p w:rsidR="00814E61" w:rsidRPr="002C75B8" w:rsidRDefault="00814E61" w:rsidP="00814E61">
      <w:pPr>
        <w:ind w:left="0" w:firstLine="0"/>
        <w:rPr>
          <w:b/>
          <w:bCs/>
          <w:sz w:val="22"/>
          <w:lang w:val="en-GB"/>
        </w:rPr>
      </w:pPr>
      <w:r>
        <w:rPr>
          <w:b/>
          <w:bCs/>
          <w:noProof/>
          <w:sz w:val="22"/>
          <w:lang w:val="en-US"/>
        </w:rPr>
        <w:drawing>
          <wp:anchor distT="0" distB="0" distL="114300" distR="114300" simplePos="0" relativeHeight="251661312" behindDoc="0" locked="0" layoutInCell="1" allowOverlap="1">
            <wp:simplePos x="0" y="0"/>
            <wp:positionH relativeFrom="column">
              <wp:posOffset>-114300</wp:posOffset>
            </wp:positionH>
            <wp:positionV relativeFrom="paragraph">
              <wp:posOffset>94615</wp:posOffset>
            </wp:positionV>
            <wp:extent cx="2866390" cy="202628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66390" cy="2026285"/>
                    </a:xfrm>
                    <a:prstGeom prst="rect">
                      <a:avLst/>
                    </a:prstGeom>
                    <a:noFill/>
                    <a:ln w="9525">
                      <a:noFill/>
                      <a:miter lim="800000"/>
                      <a:headEnd/>
                      <a:tailEnd/>
                    </a:ln>
                  </pic:spPr>
                </pic:pic>
              </a:graphicData>
            </a:graphic>
          </wp:anchor>
        </w:drawing>
      </w:r>
    </w:p>
    <w:p w:rsidR="00814E61" w:rsidRPr="002C75B8" w:rsidRDefault="00814E61" w:rsidP="00814E61">
      <w:pPr>
        <w:ind w:left="0" w:firstLine="0"/>
        <w:rPr>
          <w:sz w:val="22"/>
          <w:lang w:val="en-GB"/>
        </w:rPr>
      </w:pPr>
      <w:r>
        <w:rPr>
          <w:b/>
          <w:bCs/>
          <w:noProof/>
          <w:sz w:val="22"/>
          <w:lang w:val="en-US"/>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48260</wp:posOffset>
            </wp:positionV>
            <wp:extent cx="2798445" cy="1978660"/>
            <wp:effectExtent l="1905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98445" cy="1978660"/>
                    </a:xfrm>
                    <a:prstGeom prst="rect">
                      <a:avLst/>
                    </a:prstGeom>
                    <a:noFill/>
                    <a:ln w="9525">
                      <a:noFill/>
                      <a:miter lim="800000"/>
                      <a:headEnd/>
                      <a:tailEnd/>
                    </a:ln>
                  </pic:spPr>
                </pic:pic>
              </a:graphicData>
            </a:graphic>
          </wp:anchor>
        </w:drawing>
      </w: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Default="00814E61" w:rsidP="00814E61">
      <w:pPr>
        <w:ind w:left="0" w:firstLine="0"/>
        <w:rPr>
          <w:b/>
          <w:bCs/>
          <w:sz w:val="22"/>
          <w:lang w:val="en-GB"/>
        </w:rPr>
      </w:pPr>
    </w:p>
    <w:p w:rsidR="00814E61" w:rsidRPr="002C75B8" w:rsidRDefault="00814E61" w:rsidP="00814E61">
      <w:pPr>
        <w:ind w:left="0" w:firstLine="0"/>
        <w:rPr>
          <w:rFonts w:eastAsia="Times New Roman"/>
          <w:sz w:val="22"/>
          <w:lang w:val="en-GB" w:eastAsia="es-ES"/>
        </w:rPr>
      </w:pPr>
      <w:r>
        <w:rPr>
          <w:b/>
          <w:bCs/>
          <w:sz w:val="22"/>
          <w:lang w:val="en-GB"/>
        </w:rPr>
        <w:t>Cutaneous l</w:t>
      </w:r>
      <w:r w:rsidRPr="002C75B8">
        <w:rPr>
          <w:b/>
          <w:bCs/>
          <w:sz w:val="22"/>
          <w:lang w:val="en-GB"/>
        </w:rPr>
        <w:t>eishmaniasis trend</w:t>
      </w:r>
    </w:p>
    <w:p w:rsidR="00814E61" w:rsidRPr="002C75B8" w:rsidRDefault="00814E61" w:rsidP="00814E61">
      <w:pPr>
        <w:ind w:left="0" w:firstLine="0"/>
        <w:rPr>
          <w:rFonts w:eastAsia="Times New Roman"/>
          <w:sz w:val="22"/>
          <w:lang w:val="en-GB" w:eastAsia="es-ES"/>
        </w:rPr>
      </w:pPr>
      <w:r>
        <w:rPr>
          <w:rFonts w:eastAsia="Times New Roman"/>
          <w:noProof/>
          <w:sz w:val="22"/>
          <w:lang w:val="en-US"/>
        </w:rPr>
        <w:drawing>
          <wp:anchor distT="0" distB="0" distL="114300" distR="114300" simplePos="0" relativeHeight="251660288" behindDoc="0" locked="0" layoutInCell="1" allowOverlap="1">
            <wp:simplePos x="0" y="0"/>
            <wp:positionH relativeFrom="column">
              <wp:posOffset>-68580</wp:posOffset>
            </wp:positionH>
            <wp:positionV relativeFrom="paragraph">
              <wp:posOffset>55245</wp:posOffset>
            </wp:positionV>
            <wp:extent cx="3383280" cy="1450975"/>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14E61" w:rsidRPr="002C75B8" w:rsidRDefault="00814E61" w:rsidP="00814E61">
      <w:pPr>
        <w:ind w:left="0" w:firstLine="0"/>
        <w:rPr>
          <w:rFonts w:eastAsia="Times New Roman"/>
          <w:sz w:val="22"/>
          <w:lang w:val="en-GB" w:eastAsia="es-ES"/>
        </w:rPr>
      </w:pPr>
    </w:p>
    <w:p w:rsidR="00814E61" w:rsidRPr="002C75B8" w:rsidRDefault="00814E61" w:rsidP="00814E61">
      <w:pPr>
        <w:ind w:left="0" w:firstLine="0"/>
        <w:rPr>
          <w:rFonts w:eastAsia="Times New Roman"/>
          <w:sz w:val="22"/>
          <w:lang w:val="en-GB" w:eastAsia="es-ES"/>
        </w:rPr>
      </w:pPr>
    </w:p>
    <w:p w:rsidR="00814E61" w:rsidRPr="002C75B8" w:rsidRDefault="00814E61" w:rsidP="00814E61">
      <w:pPr>
        <w:ind w:left="0" w:firstLine="0"/>
        <w:rPr>
          <w:rFonts w:eastAsia="Times New Roman"/>
          <w:sz w:val="22"/>
          <w:lang w:val="en-GB" w:eastAsia="es-ES"/>
        </w:rPr>
      </w:pPr>
    </w:p>
    <w:p w:rsidR="00814E61" w:rsidRPr="002C75B8" w:rsidRDefault="00814E61" w:rsidP="00814E61">
      <w:pPr>
        <w:ind w:left="0" w:firstLine="0"/>
        <w:rPr>
          <w:rFonts w:eastAsia="Times New Roman"/>
          <w:sz w:val="22"/>
          <w:lang w:val="en-GB" w:eastAsia="es-ES"/>
        </w:rPr>
      </w:pPr>
    </w:p>
    <w:p w:rsidR="00814E61" w:rsidRPr="002C75B8" w:rsidRDefault="00814E61" w:rsidP="00814E61">
      <w:pPr>
        <w:ind w:left="0" w:firstLine="0"/>
        <w:rPr>
          <w:rFonts w:eastAsia="Times New Roman"/>
          <w:sz w:val="22"/>
          <w:lang w:val="en-GB" w:eastAsia="es-ES"/>
        </w:rPr>
      </w:pPr>
    </w:p>
    <w:p w:rsidR="00814E61" w:rsidRPr="002C75B8" w:rsidRDefault="00814E61" w:rsidP="00814E61">
      <w:pPr>
        <w:ind w:left="0" w:firstLine="0"/>
        <w:rPr>
          <w:rFonts w:eastAsia="Times New Roman"/>
          <w:sz w:val="22"/>
          <w:lang w:val="en-GB" w:eastAsia="es-ES"/>
        </w:rPr>
      </w:pPr>
    </w:p>
    <w:p w:rsidR="00814E61" w:rsidRPr="002C75B8" w:rsidRDefault="00814E61" w:rsidP="00814E61">
      <w:pPr>
        <w:ind w:left="0" w:firstLine="0"/>
        <w:rPr>
          <w:rFonts w:eastAsia="Times New Roman"/>
          <w:b/>
          <w:bCs/>
          <w:sz w:val="22"/>
          <w:lang w:val="en-GB" w:eastAsia="es-ES"/>
        </w:rPr>
      </w:pPr>
      <w:r w:rsidRPr="002C75B8">
        <w:rPr>
          <w:rFonts w:eastAsia="Times New Roman"/>
          <w:b/>
          <w:bCs/>
          <w:sz w:val="22"/>
          <w:lang w:val="en-GB" w:eastAsia="es-ES"/>
        </w:rPr>
        <w:lastRenderedPageBreak/>
        <w:t>CONTROL</w:t>
      </w:r>
    </w:p>
    <w:p w:rsidR="00814E61" w:rsidRPr="002C75B8" w:rsidRDefault="00814E61" w:rsidP="00814E61">
      <w:pPr>
        <w:ind w:left="0" w:firstLine="0"/>
        <w:rPr>
          <w:rFonts w:eastAsia="Times New Roman"/>
          <w:sz w:val="22"/>
          <w:lang w:val="en-GB" w:eastAsia="es-ES"/>
        </w:rPr>
      </w:pPr>
    </w:p>
    <w:p w:rsidR="00814E61" w:rsidRPr="002C75B8" w:rsidRDefault="00814E61" w:rsidP="00814E61">
      <w:pPr>
        <w:ind w:left="0" w:firstLine="0"/>
        <w:rPr>
          <w:rFonts w:eastAsia="Times New Roman"/>
          <w:sz w:val="22"/>
          <w:lang w:val="en-US" w:eastAsia="es-ES"/>
        </w:rPr>
      </w:pPr>
      <w:r w:rsidRPr="002C75B8">
        <w:rPr>
          <w:rFonts w:eastAsia="Times New Roman"/>
          <w:sz w:val="22"/>
          <w:lang w:val="en-US" w:eastAsia="es-ES"/>
        </w:rPr>
        <w:t xml:space="preserve">Notification of </w:t>
      </w:r>
      <w:r>
        <w:rPr>
          <w:rFonts w:eastAsia="Times New Roman"/>
          <w:sz w:val="22"/>
          <w:lang w:val="en-US" w:eastAsia="es-ES"/>
        </w:rPr>
        <w:t>l</w:t>
      </w:r>
      <w:r w:rsidRPr="002C75B8">
        <w:rPr>
          <w:rFonts w:eastAsia="Times New Roman"/>
          <w:sz w:val="22"/>
          <w:lang w:val="en-US" w:eastAsia="es-ES"/>
        </w:rPr>
        <w:t xml:space="preserve">eishmaniasis is not mandatory in the country and there is no national </w:t>
      </w:r>
      <w:r>
        <w:rPr>
          <w:rFonts w:eastAsia="Times New Roman"/>
          <w:sz w:val="22"/>
          <w:lang w:val="en-US" w:eastAsia="es-ES"/>
        </w:rPr>
        <w:t>l</w:t>
      </w:r>
      <w:r w:rsidRPr="002C75B8">
        <w:rPr>
          <w:rFonts w:eastAsia="Times New Roman"/>
          <w:sz w:val="22"/>
          <w:lang w:val="en-US" w:eastAsia="es-ES"/>
        </w:rPr>
        <w:t xml:space="preserve">eishmaniasis control program. Case detection is passive. There is no vector control program, but the wide use of insecticide by farmers for agriculture and the spraying of insecticide for malaria control led to a decrease of the prevalence of </w:t>
      </w:r>
      <w:proofErr w:type="spellStart"/>
      <w:r w:rsidRPr="002C75B8">
        <w:rPr>
          <w:rFonts w:eastAsia="Times New Roman"/>
          <w:sz w:val="22"/>
          <w:lang w:val="en-US" w:eastAsia="es-ES"/>
        </w:rPr>
        <w:t>sandflies</w:t>
      </w:r>
      <w:proofErr w:type="spellEnd"/>
      <w:r w:rsidRPr="002C75B8">
        <w:rPr>
          <w:rFonts w:eastAsia="Times New Roman"/>
          <w:sz w:val="22"/>
          <w:lang w:val="en-US" w:eastAsia="es-ES"/>
        </w:rPr>
        <w:t xml:space="preserve"> in some parts of the country. There is a </w:t>
      </w:r>
      <w:proofErr w:type="spellStart"/>
      <w:r w:rsidRPr="002C75B8">
        <w:rPr>
          <w:rFonts w:eastAsia="Times New Roman"/>
          <w:sz w:val="22"/>
          <w:lang w:val="en-US" w:eastAsia="es-ES"/>
        </w:rPr>
        <w:t>bednet</w:t>
      </w:r>
      <w:proofErr w:type="spellEnd"/>
      <w:r w:rsidRPr="002C75B8">
        <w:rPr>
          <w:rFonts w:eastAsia="Times New Roman"/>
          <w:sz w:val="22"/>
          <w:lang w:val="en-US" w:eastAsia="es-ES"/>
        </w:rPr>
        <w:t xml:space="preserve"> distribution program for malaria. There is no reservoir control program. </w:t>
      </w:r>
    </w:p>
    <w:p w:rsidR="00814E61" w:rsidRPr="002C75B8" w:rsidRDefault="00814E61" w:rsidP="00814E61">
      <w:pPr>
        <w:ind w:left="0" w:firstLine="0"/>
        <w:rPr>
          <w:rFonts w:eastAsia="Times New Roman"/>
          <w:sz w:val="22"/>
          <w:lang w:val="en-US" w:eastAsia="es-ES"/>
        </w:rPr>
      </w:pPr>
    </w:p>
    <w:p w:rsidR="00814E61" w:rsidRPr="002C75B8" w:rsidRDefault="00814E61" w:rsidP="00814E61">
      <w:pPr>
        <w:ind w:left="0" w:firstLine="0"/>
        <w:rPr>
          <w:rFonts w:eastAsia="Times New Roman"/>
          <w:sz w:val="22"/>
          <w:lang w:val="en-US" w:eastAsia="es-ES"/>
        </w:rPr>
      </w:pPr>
    </w:p>
    <w:p w:rsidR="00814E61" w:rsidRPr="002C75B8" w:rsidRDefault="00814E61" w:rsidP="00814E61">
      <w:pPr>
        <w:ind w:left="0" w:firstLine="0"/>
        <w:rPr>
          <w:b/>
          <w:sz w:val="22"/>
          <w:lang w:val="en-US"/>
        </w:rPr>
      </w:pPr>
      <w:r w:rsidRPr="002C75B8">
        <w:rPr>
          <w:b/>
          <w:sz w:val="22"/>
          <w:lang w:val="en-US"/>
        </w:rPr>
        <w:t xml:space="preserve">DIAGNOSIS, TREATMENT </w:t>
      </w:r>
    </w:p>
    <w:p w:rsidR="00814E61" w:rsidRPr="002C75B8" w:rsidRDefault="00814E61" w:rsidP="00814E61">
      <w:pPr>
        <w:ind w:left="0" w:firstLine="0"/>
        <w:rPr>
          <w:b/>
          <w:sz w:val="22"/>
          <w:lang w:val="en-US"/>
        </w:rPr>
      </w:pPr>
    </w:p>
    <w:p w:rsidR="00814E61" w:rsidRPr="002C75B8" w:rsidRDefault="00814E61" w:rsidP="00814E61">
      <w:pPr>
        <w:ind w:left="0" w:firstLine="0"/>
        <w:rPr>
          <w:b/>
          <w:bCs/>
          <w:sz w:val="22"/>
          <w:lang w:val="en-US"/>
        </w:rPr>
      </w:pPr>
      <w:r w:rsidRPr="002C75B8">
        <w:rPr>
          <w:b/>
          <w:bCs/>
          <w:sz w:val="22"/>
          <w:lang w:val="en-US"/>
        </w:rPr>
        <w:t>Diagnosis</w:t>
      </w:r>
    </w:p>
    <w:p w:rsidR="00814E61" w:rsidRPr="00562689" w:rsidRDefault="00814E61" w:rsidP="00814E61">
      <w:pPr>
        <w:ind w:left="0" w:firstLine="0"/>
        <w:rPr>
          <w:sz w:val="22"/>
        </w:rPr>
      </w:pPr>
      <w:r w:rsidRPr="00562689">
        <w:rPr>
          <w:sz w:val="22"/>
        </w:rPr>
        <w:t xml:space="preserve">CL: </w:t>
      </w:r>
      <w:proofErr w:type="spellStart"/>
      <w:r w:rsidRPr="00562689">
        <w:rPr>
          <w:sz w:val="22"/>
        </w:rPr>
        <w:t>mostly</w:t>
      </w:r>
      <w:proofErr w:type="spellEnd"/>
      <w:r w:rsidRPr="00562689">
        <w:rPr>
          <w:sz w:val="22"/>
        </w:rPr>
        <w:t xml:space="preserve"> </w:t>
      </w:r>
      <w:proofErr w:type="spellStart"/>
      <w:r w:rsidRPr="00562689">
        <w:rPr>
          <w:sz w:val="22"/>
        </w:rPr>
        <w:t>only</w:t>
      </w:r>
      <w:proofErr w:type="spellEnd"/>
      <w:r w:rsidRPr="00562689">
        <w:rPr>
          <w:sz w:val="22"/>
        </w:rPr>
        <w:t xml:space="preserve"> </w:t>
      </w:r>
      <w:proofErr w:type="spellStart"/>
      <w:r w:rsidRPr="00562689">
        <w:rPr>
          <w:sz w:val="22"/>
        </w:rPr>
        <w:t>on</w:t>
      </w:r>
      <w:proofErr w:type="spellEnd"/>
      <w:r w:rsidRPr="00562689">
        <w:rPr>
          <w:sz w:val="22"/>
        </w:rPr>
        <w:t xml:space="preserve"> </w:t>
      </w:r>
      <w:proofErr w:type="spellStart"/>
      <w:r w:rsidRPr="00562689">
        <w:rPr>
          <w:sz w:val="22"/>
        </w:rPr>
        <w:t>clinical</w:t>
      </w:r>
      <w:proofErr w:type="spellEnd"/>
      <w:r w:rsidRPr="00562689">
        <w:rPr>
          <w:sz w:val="22"/>
        </w:rPr>
        <w:t xml:space="preserve"> </w:t>
      </w:r>
      <w:proofErr w:type="spellStart"/>
      <w:r w:rsidRPr="00562689">
        <w:rPr>
          <w:sz w:val="22"/>
        </w:rPr>
        <w:t>grounds</w:t>
      </w:r>
      <w:proofErr w:type="spellEnd"/>
      <w:r w:rsidRPr="00562689">
        <w:rPr>
          <w:sz w:val="22"/>
        </w:rPr>
        <w:t xml:space="preserve">. </w:t>
      </w:r>
      <w:proofErr w:type="spellStart"/>
      <w:r w:rsidRPr="00562689">
        <w:rPr>
          <w:sz w:val="22"/>
        </w:rPr>
        <w:t>Confirmation</w:t>
      </w:r>
      <w:proofErr w:type="spellEnd"/>
      <w:r w:rsidRPr="00562689">
        <w:rPr>
          <w:sz w:val="22"/>
        </w:rPr>
        <w:t xml:space="preserve"> </w:t>
      </w:r>
      <w:proofErr w:type="spellStart"/>
      <w:r w:rsidRPr="00562689">
        <w:rPr>
          <w:sz w:val="22"/>
        </w:rPr>
        <w:t>with</w:t>
      </w:r>
      <w:proofErr w:type="spellEnd"/>
      <w:r w:rsidRPr="00562689">
        <w:rPr>
          <w:sz w:val="22"/>
        </w:rPr>
        <w:t xml:space="preserve"> </w:t>
      </w:r>
      <w:proofErr w:type="spellStart"/>
      <w:r w:rsidRPr="00562689">
        <w:rPr>
          <w:sz w:val="22"/>
        </w:rPr>
        <w:t>microscopic</w:t>
      </w:r>
      <w:proofErr w:type="spellEnd"/>
      <w:r w:rsidRPr="00562689">
        <w:rPr>
          <w:sz w:val="22"/>
        </w:rPr>
        <w:t xml:space="preserve"> </w:t>
      </w:r>
      <w:proofErr w:type="spellStart"/>
      <w:r w:rsidRPr="00562689">
        <w:rPr>
          <w:sz w:val="22"/>
        </w:rPr>
        <w:t>examination</w:t>
      </w:r>
      <w:proofErr w:type="spellEnd"/>
      <w:r w:rsidRPr="00562689">
        <w:rPr>
          <w:sz w:val="22"/>
        </w:rPr>
        <w:t xml:space="preserve"> of </w:t>
      </w:r>
      <w:proofErr w:type="spellStart"/>
      <w:r w:rsidRPr="00562689">
        <w:rPr>
          <w:sz w:val="22"/>
        </w:rPr>
        <w:t>skin</w:t>
      </w:r>
      <w:proofErr w:type="spellEnd"/>
      <w:r w:rsidRPr="00562689">
        <w:rPr>
          <w:sz w:val="22"/>
        </w:rPr>
        <w:t xml:space="preserve"> </w:t>
      </w:r>
      <w:proofErr w:type="spellStart"/>
      <w:r w:rsidRPr="00562689">
        <w:rPr>
          <w:sz w:val="22"/>
        </w:rPr>
        <w:t>lesion</w:t>
      </w:r>
      <w:proofErr w:type="spellEnd"/>
      <w:r w:rsidRPr="00562689">
        <w:rPr>
          <w:sz w:val="22"/>
        </w:rPr>
        <w:t xml:space="preserve"> </w:t>
      </w:r>
      <w:proofErr w:type="spellStart"/>
      <w:r w:rsidRPr="00562689">
        <w:rPr>
          <w:sz w:val="22"/>
        </w:rPr>
        <w:t>sample</w:t>
      </w:r>
      <w:proofErr w:type="spellEnd"/>
      <w:r w:rsidRPr="00562689">
        <w:rPr>
          <w:sz w:val="22"/>
        </w:rPr>
        <w:t xml:space="preserve"> </w:t>
      </w:r>
      <w:proofErr w:type="spellStart"/>
      <w:r w:rsidRPr="00562689">
        <w:rPr>
          <w:sz w:val="22"/>
        </w:rPr>
        <w:t>or</w:t>
      </w:r>
      <w:proofErr w:type="spellEnd"/>
      <w:r w:rsidRPr="00562689">
        <w:rPr>
          <w:sz w:val="22"/>
        </w:rPr>
        <w:t xml:space="preserve"> ELISA.</w:t>
      </w:r>
    </w:p>
    <w:p w:rsidR="00814E61" w:rsidRPr="00562689" w:rsidRDefault="00814E61" w:rsidP="00814E61">
      <w:pPr>
        <w:ind w:left="0" w:firstLine="0"/>
        <w:rPr>
          <w:sz w:val="22"/>
        </w:rPr>
      </w:pPr>
      <w:r w:rsidRPr="00562689">
        <w:rPr>
          <w:sz w:val="22"/>
        </w:rPr>
        <w:t xml:space="preserve">VL: </w:t>
      </w:r>
      <w:proofErr w:type="spellStart"/>
      <w:r w:rsidRPr="00562689">
        <w:rPr>
          <w:sz w:val="22"/>
        </w:rPr>
        <w:t>confirmation</w:t>
      </w:r>
      <w:proofErr w:type="spellEnd"/>
      <w:r w:rsidRPr="00562689">
        <w:rPr>
          <w:sz w:val="22"/>
        </w:rPr>
        <w:t xml:space="preserve"> </w:t>
      </w:r>
      <w:proofErr w:type="spellStart"/>
      <w:r w:rsidRPr="00562689">
        <w:rPr>
          <w:sz w:val="22"/>
        </w:rPr>
        <w:t>by</w:t>
      </w:r>
      <w:proofErr w:type="spellEnd"/>
      <w:r w:rsidRPr="00562689">
        <w:rPr>
          <w:sz w:val="22"/>
        </w:rPr>
        <w:t xml:space="preserve"> </w:t>
      </w:r>
      <w:proofErr w:type="spellStart"/>
      <w:r w:rsidRPr="00562689">
        <w:rPr>
          <w:sz w:val="22"/>
        </w:rPr>
        <w:t>microscopic</w:t>
      </w:r>
      <w:proofErr w:type="spellEnd"/>
      <w:r w:rsidRPr="00562689">
        <w:rPr>
          <w:sz w:val="22"/>
        </w:rPr>
        <w:t xml:space="preserve"> </w:t>
      </w:r>
      <w:proofErr w:type="spellStart"/>
      <w:r w:rsidRPr="00562689">
        <w:rPr>
          <w:sz w:val="22"/>
        </w:rPr>
        <w:t>examination</w:t>
      </w:r>
      <w:proofErr w:type="spellEnd"/>
      <w:r w:rsidRPr="00562689">
        <w:rPr>
          <w:sz w:val="22"/>
        </w:rPr>
        <w:t xml:space="preserve"> of </w:t>
      </w:r>
      <w:proofErr w:type="spellStart"/>
      <w:r w:rsidRPr="00562689">
        <w:rPr>
          <w:sz w:val="22"/>
        </w:rPr>
        <w:t>bone</w:t>
      </w:r>
      <w:proofErr w:type="spellEnd"/>
      <w:r w:rsidRPr="00562689">
        <w:rPr>
          <w:sz w:val="22"/>
        </w:rPr>
        <w:t xml:space="preserve"> </w:t>
      </w:r>
      <w:proofErr w:type="spellStart"/>
      <w:r w:rsidRPr="00562689">
        <w:rPr>
          <w:sz w:val="22"/>
        </w:rPr>
        <w:t>marrow</w:t>
      </w:r>
      <w:proofErr w:type="spellEnd"/>
      <w:r w:rsidRPr="00562689">
        <w:rPr>
          <w:sz w:val="22"/>
        </w:rPr>
        <w:t xml:space="preserve"> </w:t>
      </w:r>
      <w:proofErr w:type="spellStart"/>
      <w:r w:rsidRPr="00562689">
        <w:rPr>
          <w:sz w:val="22"/>
        </w:rPr>
        <w:t>aspirate</w:t>
      </w:r>
      <w:proofErr w:type="spellEnd"/>
      <w:r w:rsidRPr="00562689">
        <w:rPr>
          <w:sz w:val="22"/>
        </w:rPr>
        <w:t xml:space="preserve"> </w:t>
      </w:r>
      <w:proofErr w:type="spellStart"/>
      <w:r w:rsidRPr="00562689">
        <w:rPr>
          <w:sz w:val="22"/>
        </w:rPr>
        <w:t>or</w:t>
      </w:r>
      <w:proofErr w:type="spellEnd"/>
      <w:r w:rsidRPr="00562689">
        <w:rPr>
          <w:sz w:val="22"/>
        </w:rPr>
        <w:t xml:space="preserve"> </w:t>
      </w:r>
      <w:proofErr w:type="spellStart"/>
      <w:r w:rsidRPr="00562689">
        <w:rPr>
          <w:sz w:val="22"/>
        </w:rPr>
        <w:t>by</w:t>
      </w:r>
      <w:proofErr w:type="spellEnd"/>
      <w:r w:rsidRPr="00562689">
        <w:rPr>
          <w:sz w:val="22"/>
        </w:rPr>
        <w:t xml:space="preserve"> ELISA.</w:t>
      </w:r>
    </w:p>
    <w:p w:rsidR="00814E61" w:rsidRPr="002C75B8" w:rsidRDefault="00814E61" w:rsidP="00814E61">
      <w:pPr>
        <w:ind w:left="0" w:firstLine="0"/>
        <w:rPr>
          <w:b/>
          <w:bCs/>
          <w:sz w:val="22"/>
          <w:lang w:val="en-US"/>
        </w:rPr>
      </w:pPr>
    </w:p>
    <w:p w:rsidR="00814E61" w:rsidRPr="002C75B8" w:rsidRDefault="00814E61" w:rsidP="00814E61">
      <w:pPr>
        <w:ind w:left="0" w:firstLine="0"/>
        <w:rPr>
          <w:b/>
          <w:bCs/>
          <w:sz w:val="22"/>
          <w:lang w:val="en-US"/>
        </w:rPr>
      </w:pPr>
      <w:r w:rsidRPr="002C75B8">
        <w:rPr>
          <w:b/>
          <w:bCs/>
          <w:sz w:val="22"/>
          <w:lang w:val="en-US"/>
        </w:rPr>
        <w:t>Treatment</w:t>
      </w:r>
    </w:p>
    <w:p w:rsidR="00814E61" w:rsidRPr="00562689" w:rsidRDefault="00814E61" w:rsidP="00814E61">
      <w:pPr>
        <w:ind w:left="0" w:firstLine="0"/>
        <w:rPr>
          <w:sz w:val="22"/>
          <w:lang w:val="en-US"/>
        </w:rPr>
      </w:pPr>
      <w:r w:rsidRPr="00562689">
        <w:rPr>
          <w:bCs/>
          <w:sz w:val="22"/>
          <w:lang w:val="en-US"/>
        </w:rPr>
        <w:t>VL:</w:t>
      </w:r>
      <w:r w:rsidRPr="00562689">
        <w:rPr>
          <w:sz w:val="22"/>
          <w:lang w:val="en-US"/>
        </w:rPr>
        <w:t xml:space="preserve"> antimonials, 20 mg </w:t>
      </w:r>
      <w:proofErr w:type="spellStart"/>
      <w:r w:rsidRPr="00562689">
        <w:rPr>
          <w:sz w:val="22"/>
          <w:lang w:val="en-US"/>
        </w:rPr>
        <w:t>Sb</w:t>
      </w:r>
      <w:r w:rsidRPr="00562689">
        <w:rPr>
          <w:sz w:val="22"/>
          <w:vertAlign w:val="superscript"/>
          <w:lang w:val="en-US"/>
        </w:rPr>
        <w:t>v</w:t>
      </w:r>
      <w:proofErr w:type="spellEnd"/>
      <w:r w:rsidRPr="00562689">
        <w:rPr>
          <w:sz w:val="22"/>
          <w:lang w:val="en-US"/>
        </w:rPr>
        <w:t xml:space="preserve">/kg/day for 21 days. </w:t>
      </w:r>
    </w:p>
    <w:p w:rsidR="00814E61" w:rsidRPr="002C75B8" w:rsidRDefault="00814E61" w:rsidP="00814E61">
      <w:pPr>
        <w:ind w:left="0" w:firstLine="0"/>
        <w:rPr>
          <w:sz w:val="22"/>
          <w:lang w:val="en-GB"/>
        </w:rPr>
      </w:pPr>
      <w:r w:rsidRPr="00562689">
        <w:rPr>
          <w:bCs/>
          <w:sz w:val="22"/>
          <w:lang w:val="en-US"/>
        </w:rPr>
        <w:t>CL:</w:t>
      </w:r>
      <w:r w:rsidRPr="002C75B8">
        <w:rPr>
          <w:sz w:val="22"/>
          <w:lang w:val="en-US"/>
        </w:rPr>
        <w:t xml:space="preserve"> antimonials, intralesional or systemic (15-20</w:t>
      </w:r>
      <w:r>
        <w:rPr>
          <w:sz w:val="22"/>
          <w:lang w:val="en-US"/>
        </w:rPr>
        <w:t xml:space="preserve"> </w:t>
      </w:r>
      <w:r w:rsidRPr="002C75B8">
        <w:rPr>
          <w:sz w:val="22"/>
          <w:lang w:val="en-US"/>
        </w:rPr>
        <w:t xml:space="preserve">mg </w:t>
      </w:r>
      <w:proofErr w:type="spellStart"/>
      <w:r w:rsidRPr="002C75B8">
        <w:rPr>
          <w:sz w:val="22"/>
          <w:lang w:val="en-US"/>
        </w:rPr>
        <w:t>Sb</w:t>
      </w:r>
      <w:r w:rsidRPr="00C575E1">
        <w:rPr>
          <w:sz w:val="22"/>
          <w:vertAlign w:val="superscript"/>
          <w:lang w:val="en-US"/>
        </w:rPr>
        <w:t>v</w:t>
      </w:r>
      <w:proofErr w:type="spellEnd"/>
      <w:r w:rsidRPr="002C75B8">
        <w:rPr>
          <w:sz w:val="22"/>
          <w:lang w:val="en-US"/>
        </w:rPr>
        <w:t>/kg/day for 12-20 days) and/or cryotherapy. Cure rate for cryotherapy is estimated at 90%, for antimonials at 80%.</w:t>
      </w: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p>
    <w:p w:rsidR="00814E61" w:rsidRDefault="00814E61" w:rsidP="00814E61">
      <w:pPr>
        <w:ind w:left="0" w:firstLine="0"/>
        <w:rPr>
          <w:b/>
          <w:bCs/>
          <w:sz w:val="22"/>
          <w:lang w:val="en-US"/>
        </w:rPr>
      </w:pPr>
      <w:r w:rsidRPr="002C75B8">
        <w:rPr>
          <w:b/>
          <w:bCs/>
          <w:sz w:val="22"/>
          <w:lang w:val="en-US"/>
        </w:rPr>
        <w:t xml:space="preserve">ACCESS TO CARE </w:t>
      </w:r>
    </w:p>
    <w:p w:rsidR="00814E61" w:rsidRPr="002C75B8" w:rsidRDefault="00814E61" w:rsidP="00814E61">
      <w:pPr>
        <w:ind w:left="0" w:firstLine="0"/>
        <w:rPr>
          <w:b/>
          <w:bCs/>
          <w:sz w:val="22"/>
          <w:lang w:val="en-US"/>
        </w:rPr>
      </w:pPr>
    </w:p>
    <w:p w:rsidR="00814E61" w:rsidRPr="002C75B8" w:rsidRDefault="00814E61" w:rsidP="00814E61">
      <w:pPr>
        <w:ind w:left="0" w:firstLine="0"/>
        <w:rPr>
          <w:sz w:val="22"/>
          <w:lang w:val="en-US"/>
        </w:rPr>
      </w:pPr>
      <w:r w:rsidRPr="002C75B8">
        <w:rPr>
          <w:sz w:val="22"/>
          <w:lang w:val="en-US"/>
        </w:rPr>
        <w:t xml:space="preserve">Access to care for leishmaniasis is not free in </w:t>
      </w:r>
      <w:smartTag w:uri="urn:schemas-microsoft-com:office:smarttags" w:element="place">
        <w:smartTag w:uri="urn:schemas-microsoft-com:office:smarttags" w:element="country-region">
          <w:r w:rsidRPr="002C75B8">
            <w:rPr>
              <w:sz w:val="22"/>
              <w:lang w:val="en-US"/>
            </w:rPr>
            <w:t>Yemen</w:t>
          </w:r>
        </w:smartTag>
      </w:smartTag>
      <w:r w:rsidRPr="002C75B8">
        <w:rPr>
          <w:sz w:val="22"/>
          <w:lang w:val="en-US"/>
        </w:rPr>
        <w:t>. Patients have to pay a registration fee of 0</w:t>
      </w:r>
      <w:r>
        <w:rPr>
          <w:sz w:val="22"/>
          <w:lang w:val="en-US"/>
        </w:rPr>
        <w:t>.</w:t>
      </w:r>
      <w:r w:rsidRPr="002C75B8">
        <w:rPr>
          <w:sz w:val="22"/>
          <w:lang w:val="en-US"/>
        </w:rPr>
        <w:t>25-0</w:t>
      </w:r>
      <w:r>
        <w:rPr>
          <w:sz w:val="22"/>
          <w:lang w:val="en-US"/>
        </w:rPr>
        <w:t>.</w:t>
      </w:r>
      <w:r w:rsidRPr="002C75B8">
        <w:rPr>
          <w:sz w:val="22"/>
          <w:lang w:val="en-US"/>
        </w:rPr>
        <w:t>50 USD per visit. The consultation itself is free</w:t>
      </w:r>
      <w:r>
        <w:rPr>
          <w:sz w:val="22"/>
          <w:lang w:val="en-US"/>
        </w:rPr>
        <w:t>,</w:t>
      </w:r>
      <w:r w:rsidRPr="002C75B8">
        <w:rPr>
          <w:sz w:val="22"/>
          <w:lang w:val="en-US"/>
        </w:rPr>
        <w:t xml:space="preserve"> but a fee of 1-10 USD for laboratory tests has to be paid by the patients. The government did not provide any anti</w:t>
      </w:r>
      <w:r>
        <w:rPr>
          <w:sz w:val="22"/>
          <w:lang w:val="en-US"/>
        </w:rPr>
        <w:t>-</w:t>
      </w:r>
      <w:r w:rsidRPr="002C75B8">
        <w:rPr>
          <w:sz w:val="22"/>
          <w:lang w:val="en-US"/>
        </w:rPr>
        <w:t>leishmanial drugs in 2007 and 2008. Therefore</w:t>
      </w:r>
      <w:r>
        <w:rPr>
          <w:sz w:val="22"/>
          <w:lang w:val="en-US"/>
        </w:rPr>
        <w:t>,</w:t>
      </w:r>
      <w:r w:rsidRPr="002C75B8">
        <w:rPr>
          <w:sz w:val="22"/>
          <w:lang w:val="en-US"/>
        </w:rPr>
        <w:t xml:space="preserve"> antimonials have to purchased by patients themselves and cost 30-50 USD for a course of intralesional treatment. Health workers are known to charge informal fees to patients. All these costs form a barrier </w:t>
      </w:r>
      <w:r>
        <w:rPr>
          <w:sz w:val="22"/>
          <w:lang w:val="en-US"/>
        </w:rPr>
        <w:t>in</w:t>
      </w:r>
      <w:r w:rsidRPr="002C75B8">
        <w:rPr>
          <w:sz w:val="22"/>
          <w:lang w:val="en-US"/>
        </w:rPr>
        <w:t xml:space="preserve"> seeking treatment for poor patients. </w:t>
      </w:r>
    </w:p>
    <w:p w:rsidR="00814E61" w:rsidRPr="002C75B8" w:rsidRDefault="00814E61" w:rsidP="00814E61">
      <w:pPr>
        <w:ind w:left="0" w:firstLine="0"/>
        <w:rPr>
          <w:sz w:val="22"/>
          <w:lang w:val="en-US"/>
        </w:rPr>
      </w:pPr>
    </w:p>
    <w:p w:rsidR="00814E61" w:rsidRPr="002C75B8" w:rsidRDefault="00814E61" w:rsidP="00814E61">
      <w:pPr>
        <w:ind w:left="0" w:firstLine="0"/>
        <w:rPr>
          <w:sz w:val="22"/>
          <w:lang w:val="en-US"/>
        </w:rPr>
      </w:pPr>
      <w:r w:rsidRPr="002C75B8">
        <w:rPr>
          <w:sz w:val="22"/>
          <w:lang w:val="en-US"/>
        </w:rPr>
        <w:t>Diagnosis and treatment for VL is only possible in regional and specialized hospitals. Diagnosis for CL is done on clinical grounds at primary health care level. Parasitological confirmation is only possible in regional and specialized hospitals. Treatment for CL can be given at primary health care level, but there is a lack of trained human resources for diagnosing and treating leishmaniasis. Patients in rural areas often live in very remote places</w:t>
      </w:r>
      <w:r>
        <w:rPr>
          <w:sz w:val="22"/>
          <w:lang w:val="en-US"/>
        </w:rPr>
        <w:t>,</w:t>
      </w:r>
      <w:r w:rsidRPr="002C75B8">
        <w:rPr>
          <w:sz w:val="22"/>
          <w:lang w:val="en-US"/>
        </w:rPr>
        <w:t xml:space="preserve"> with no health facilities and no transport</w:t>
      </w:r>
      <w:r>
        <w:rPr>
          <w:sz w:val="22"/>
          <w:lang w:val="en-US"/>
        </w:rPr>
        <w:t>;</w:t>
      </w:r>
      <w:r w:rsidRPr="002C75B8">
        <w:rPr>
          <w:sz w:val="22"/>
          <w:lang w:val="en-US"/>
        </w:rPr>
        <w:t xml:space="preserve"> if transport exists</w:t>
      </w:r>
      <w:r>
        <w:rPr>
          <w:sz w:val="22"/>
          <w:lang w:val="en-US"/>
        </w:rPr>
        <w:t>,</w:t>
      </w:r>
      <w:r w:rsidRPr="002C75B8">
        <w:rPr>
          <w:sz w:val="22"/>
          <w:lang w:val="en-US"/>
        </w:rPr>
        <w:t xml:space="preserve"> patients cannot afford it. </w:t>
      </w:r>
    </w:p>
    <w:p w:rsidR="00814E61" w:rsidRPr="002C75B8" w:rsidRDefault="00814E61" w:rsidP="00814E61">
      <w:pPr>
        <w:ind w:left="0" w:firstLine="0"/>
        <w:rPr>
          <w:sz w:val="22"/>
          <w:lang w:val="en-US"/>
        </w:rPr>
      </w:pPr>
    </w:p>
    <w:p w:rsidR="00814E61" w:rsidRPr="002C75B8" w:rsidRDefault="00814E61" w:rsidP="00814E61">
      <w:pPr>
        <w:ind w:left="0" w:firstLine="0"/>
        <w:rPr>
          <w:sz w:val="22"/>
          <w:lang w:val="en-US"/>
        </w:rPr>
      </w:pPr>
      <w:r w:rsidRPr="002C75B8">
        <w:rPr>
          <w:sz w:val="22"/>
          <w:lang w:val="en-US"/>
        </w:rPr>
        <w:t xml:space="preserve">There is a great lack of awareness of the nature of the disease and the possibility of medical treatment. About 90% of patients </w:t>
      </w:r>
      <w:r>
        <w:rPr>
          <w:sz w:val="22"/>
          <w:lang w:val="en-US"/>
        </w:rPr>
        <w:t>are</w:t>
      </w:r>
      <w:r w:rsidRPr="002C75B8">
        <w:rPr>
          <w:sz w:val="22"/>
          <w:lang w:val="en-US"/>
        </w:rPr>
        <w:t xml:space="preserve"> estimated to seek substandard private care or care from traditional healers. Methods used are corrosive (chemicals</w:t>
      </w:r>
      <w:r>
        <w:rPr>
          <w:sz w:val="22"/>
          <w:lang w:val="en-US"/>
        </w:rPr>
        <w:t>,</w:t>
      </w:r>
      <w:r w:rsidRPr="002C75B8">
        <w:rPr>
          <w:sz w:val="22"/>
          <w:lang w:val="en-US"/>
        </w:rPr>
        <w:t xml:space="preserve"> such as </w:t>
      </w:r>
      <w:proofErr w:type="spellStart"/>
      <w:r w:rsidRPr="002C75B8">
        <w:rPr>
          <w:sz w:val="22"/>
          <w:lang w:val="en-US"/>
        </w:rPr>
        <w:t>sulphuric</w:t>
      </w:r>
      <w:proofErr w:type="spellEnd"/>
      <w:r w:rsidRPr="002C75B8">
        <w:rPr>
          <w:sz w:val="22"/>
          <w:lang w:val="en-US"/>
        </w:rPr>
        <w:t xml:space="preserve"> and hydrochloric acid, direct heat, and a poultice prepared from plants). </w:t>
      </w:r>
    </w:p>
    <w:p w:rsidR="00814E61" w:rsidRPr="002C75B8" w:rsidRDefault="00814E61" w:rsidP="00814E61">
      <w:pPr>
        <w:ind w:left="0" w:firstLine="0"/>
        <w:rPr>
          <w:sz w:val="22"/>
          <w:lang w:val="en-US"/>
        </w:rPr>
      </w:pPr>
    </w:p>
    <w:p w:rsidR="00814E61" w:rsidRPr="002C75B8" w:rsidRDefault="00814E61" w:rsidP="00814E61">
      <w:pPr>
        <w:ind w:left="0" w:firstLine="0"/>
        <w:rPr>
          <w:sz w:val="22"/>
          <w:lang w:val="en-GB"/>
        </w:rPr>
      </w:pPr>
    </w:p>
    <w:p w:rsidR="00814E61" w:rsidRPr="002C75B8" w:rsidRDefault="00814E61" w:rsidP="00814E61">
      <w:pPr>
        <w:ind w:left="0" w:firstLine="0"/>
        <w:rPr>
          <w:sz w:val="22"/>
          <w:lang w:val="en-GB"/>
        </w:rPr>
      </w:pPr>
      <w:r w:rsidRPr="002C75B8">
        <w:rPr>
          <w:b/>
          <w:sz w:val="22"/>
          <w:lang w:val="en-GB"/>
        </w:rPr>
        <w:t>ACCESS TO DRUGS</w:t>
      </w:r>
      <w:r w:rsidRPr="002C75B8">
        <w:rPr>
          <w:sz w:val="22"/>
          <w:lang w:val="en-GB"/>
        </w:rPr>
        <w:t xml:space="preserve"> </w:t>
      </w:r>
    </w:p>
    <w:p w:rsidR="00814E61" w:rsidRPr="002C75B8" w:rsidRDefault="00814E61" w:rsidP="00814E61">
      <w:pPr>
        <w:ind w:left="0" w:firstLine="0"/>
        <w:rPr>
          <w:sz w:val="22"/>
          <w:lang w:val="en-GB"/>
        </w:rPr>
      </w:pPr>
    </w:p>
    <w:p w:rsidR="00814E61" w:rsidRPr="002C75B8" w:rsidRDefault="00814E61" w:rsidP="00814E61">
      <w:pPr>
        <w:ind w:left="0" w:firstLine="0"/>
        <w:rPr>
          <w:sz w:val="22"/>
          <w:lang w:val="en-US"/>
        </w:rPr>
      </w:pPr>
      <w:r w:rsidRPr="002C75B8">
        <w:rPr>
          <w:sz w:val="22"/>
          <w:lang w:val="en-US"/>
        </w:rPr>
        <w:t>Sodium stibogluconate is included in the National Essential Drug List. Sodium stibogluconate is for sale in pharmacies as well as in unregulated drug markets (smuggled from abroad). In unregulated markets</w:t>
      </w:r>
      <w:r>
        <w:rPr>
          <w:sz w:val="22"/>
          <w:lang w:val="en-US"/>
        </w:rPr>
        <w:t>,</w:t>
      </w:r>
      <w:r w:rsidRPr="002C75B8">
        <w:rPr>
          <w:sz w:val="22"/>
          <w:lang w:val="en-US"/>
        </w:rPr>
        <w:t xml:space="preserve"> generic SSG from Albert David, </w:t>
      </w:r>
      <w:smartTag w:uri="urn:schemas-microsoft-com:office:smarttags" w:element="country-region">
        <w:smartTag w:uri="urn:schemas-microsoft-com:office:smarttags" w:element="place">
          <w:r w:rsidRPr="002C75B8">
            <w:rPr>
              <w:sz w:val="22"/>
              <w:lang w:val="en-US"/>
            </w:rPr>
            <w:t>India</w:t>
          </w:r>
        </w:smartTag>
      </w:smartTag>
      <w:r>
        <w:rPr>
          <w:sz w:val="22"/>
          <w:lang w:val="en-US"/>
        </w:rPr>
        <w:t>,</w:t>
      </w:r>
      <w:r w:rsidRPr="002C75B8">
        <w:rPr>
          <w:sz w:val="22"/>
          <w:lang w:val="en-US"/>
        </w:rPr>
        <w:t xml:space="preserve"> is available: the solution is evacuated from vials into 5 ml containers that are then sold for 3 USD each. In pharmacies</w:t>
      </w:r>
      <w:r>
        <w:rPr>
          <w:sz w:val="22"/>
          <w:lang w:val="en-US"/>
        </w:rPr>
        <w:t>,</w:t>
      </w:r>
      <w:r w:rsidRPr="002C75B8">
        <w:rPr>
          <w:sz w:val="22"/>
          <w:lang w:val="en-US"/>
        </w:rPr>
        <w:t xml:space="preserve"> </w:t>
      </w:r>
      <w:r w:rsidRPr="002C75B8">
        <w:rPr>
          <w:sz w:val="22"/>
          <w:lang w:val="en-US"/>
        </w:rPr>
        <w:lastRenderedPageBreak/>
        <w:t xml:space="preserve">Pentostam (GSK) is sold for 100 USD per vial. No drugs for leishmaniasis are registered in </w:t>
      </w:r>
      <w:smartTag w:uri="urn:schemas-microsoft-com:office:smarttags" w:element="country-region">
        <w:smartTag w:uri="urn:schemas-microsoft-com:office:smarttags" w:element="place">
          <w:r w:rsidRPr="002C75B8">
            <w:rPr>
              <w:sz w:val="22"/>
              <w:lang w:val="en-US"/>
            </w:rPr>
            <w:t>Yemen</w:t>
          </w:r>
        </w:smartTag>
      </w:smartTag>
      <w:r w:rsidRPr="002C75B8">
        <w:rPr>
          <w:sz w:val="22"/>
          <w:lang w:val="en-US"/>
        </w:rPr>
        <w:t xml:space="preserve">. </w:t>
      </w:r>
    </w:p>
    <w:p w:rsidR="00814E61" w:rsidRPr="002C75B8" w:rsidRDefault="00814E61" w:rsidP="00814E61">
      <w:pPr>
        <w:ind w:left="0" w:firstLine="0"/>
        <w:rPr>
          <w:sz w:val="22"/>
          <w:lang w:val="en-US"/>
        </w:rPr>
      </w:pPr>
    </w:p>
    <w:p w:rsidR="00814E61" w:rsidRPr="002C75B8" w:rsidRDefault="00814E61" w:rsidP="00814E61">
      <w:pPr>
        <w:ind w:left="0" w:firstLine="0"/>
        <w:rPr>
          <w:sz w:val="22"/>
          <w:lang w:val="en-US"/>
        </w:rPr>
      </w:pPr>
    </w:p>
    <w:p w:rsidR="00814E61" w:rsidRPr="002C75B8" w:rsidRDefault="00814E61" w:rsidP="00814E61">
      <w:pPr>
        <w:ind w:left="0" w:firstLine="0"/>
        <w:rPr>
          <w:b/>
          <w:sz w:val="22"/>
          <w:lang w:val="en-GB"/>
        </w:rPr>
      </w:pPr>
      <w:r w:rsidRPr="002C75B8">
        <w:rPr>
          <w:b/>
          <w:sz w:val="22"/>
          <w:lang w:val="en-GB"/>
        </w:rPr>
        <w:t>SOURCES OF INFORMATION</w:t>
      </w:r>
    </w:p>
    <w:p w:rsidR="00814E61" w:rsidRPr="002C75B8" w:rsidRDefault="00814E61" w:rsidP="00814E61">
      <w:pPr>
        <w:ind w:left="0" w:firstLine="0"/>
        <w:rPr>
          <w:sz w:val="22"/>
          <w:lang w:val="en-GB"/>
        </w:rPr>
      </w:pPr>
    </w:p>
    <w:p w:rsidR="00814E61" w:rsidRPr="00D06302" w:rsidRDefault="00814E61" w:rsidP="00814E61">
      <w:pPr>
        <w:numPr>
          <w:ilvl w:val="0"/>
          <w:numId w:val="5"/>
        </w:numPr>
        <w:ind w:left="0" w:firstLine="0"/>
        <w:rPr>
          <w:sz w:val="22"/>
        </w:rPr>
      </w:pPr>
      <w:r w:rsidRPr="002C75B8">
        <w:rPr>
          <w:sz w:val="22"/>
          <w:lang w:val="en-US"/>
        </w:rPr>
        <w:t xml:space="preserve">Dr </w:t>
      </w:r>
      <w:proofErr w:type="spellStart"/>
      <w:r w:rsidRPr="002C75B8">
        <w:rPr>
          <w:sz w:val="22"/>
          <w:lang w:val="en-US"/>
        </w:rPr>
        <w:t>Yasin</w:t>
      </w:r>
      <w:proofErr w:type="spellEnd"/>
      <w:r w:rsidRPr="002C75B8">
        <w:rPr>
          <w:sz w:val="22"/>
          <w:lang w:val="en-US"/>
        </w:rPr>
        <w:t xml:space="preserve"> Al </w:t>
      </w:r>
      <w:proofErr w:type="spellStart"/>
      <w:r w:rsidRPr="002C75B8">
        <w:rPr>
          <w:sz w:val="22"/>
          <w:lang w:val="en-US"/>
        </w:rPr>
        <w:t>Qubati</w:t>
      </w:r>
      <w:proofErr w:type="spellEnd"/>
      <w:r>
        <w:rPr>
          <w:sz w:val="22"/>
          <w:lang w:val="en-US"/>
        </w:rPr>
        <w:t>,</w:t>
      </w:r>
      <w:r w:rsidRPr="002C75B8">
        <w:rPr>
          <w:sz w:val="22"/>
          <w:lang w:val="en-US"/>
        </w:rPr>
        <w:t xml:space="preserve"> Advisor to The Minister of Health in Communicable diseases. </w:t>
      </w:r>
      <w:proofErr w:type="spellStart"/>
      <w:r w:rsidRPr="002C75B8">
        <w:rPr>
          <w:sz w:val="22"/>
          <w:lang w:val="es-ES"/>
        </w:rPr>
        <w:t>Taiz</w:t>
      </w:r>
      <w:proofErr w:type="spellEnd"/>
      <w:r w:rsidRPr="002C75B8">
        <w:rPr>
          <w:sz w:val="22"/>
          <w:lang w:val="es-ES"/>
        </w:rPr>
        <w:t xml:space="preserve"> </w:t>
      </w:r>
      <w:proofErr w:type="spellStart"/>
      <w:r w:rsidRPr="002C75B8">
        <w:rPr>
          <w:sz w:val="22"/>
          <w:lang w:val="es-ES"/>
        </w:rPr>
        <w:t>University</w:t>
      </w:r>
      <w:proofErr w:type="spellEnd"/>
      <w:r w:rsidRPr="002C75B8">
        <w:rPr>
          <w:sz w:val="22"/>
          <w:lang w:val="es-ES"/>
        </w:rPr>
        <w:t>.</w:t>
      </w:r>
    </w:p>
    <w:p w:rsidR="00814E61" w:rsidRPr="00C72492" w:rsidRDefault="00814E61" w:rsidP="00814E61">
      <w:pPr>
        <w:pStyle w:val="Sinespaciado"/>
        <w:numPr>
          <w:ilvl w:val="0"/>
          <w:numId w:val="5"/>
        </w:numPr>
        <w:ind w:left="0" w:firstLine="0"/>
        <w:rPr>
          <w:rFonts w:ascii="Arial" w:hAnsi="Arial" w:cs="Arial"/>
        </w:rPr>
      </w:pPr>
      <w:r w:rsidRPr="00C72492">
        <w:rPr>
          <w:rFonts w:ascii="Arial" w:hAnsi="Arial" w:cs="Arial"/>
          <w:lang w:val="en-GB"/>
        </w:rPr>
        <w:t xml:space="preserve">Dr. Ali </w:t>
      </w:r>
      <w:proofErr w:type="spellStart"/>
      <w:r w:rsidRPr="00C72492">
        <w:rPr>
          <w:rFonts w:ascii="Arial" w:hAnsi="Arial" w:cs="Arial"/>
          <w:lang w:val="en-GB"/>
        </w:rPr>
        <w:t>Hamoud</w:t>
      </w:r>
      <w:proofErr w:type="spellEnd"/>
      <w:r w:rsidRPr="00C72492">
        <w:rPr>
          <w:rFonts w:ascii="Arial" w:hAnsi="Arial" w:cs="Arial"/>
          <w:lang w:val="en-GB"/>
        </w:rPr>
        <w:t xml:space="preserve"> Al </w:t>
      </w:r>
      <w:proofErr w:type="spellStart"/>
      <w:r w:rsidRPr="00C72492">
        <w:rPr>
          <w:rFonts w:ascii="Arial" w:hAnsi="Arial" w:cs="Arial"/>
          <w:lang w:val="en-GB"/>
        </w:rPr>
        <w:t>Mahaqri</w:t>
      </w:r>
      <w:proofErr w:type="spellEnd"/>
      <w:r w:rsidRPr="00C72492">
        <w:rPr>
          <w:rFonts w:ascii="Arial" w:hAnsi="Arial" w:cs="Arial"/>
          <w:lang w:val="en-GB"/>
        </w:rPr>
        <w:t xml:space="preserve">, Ministry of </w:t>
      </w:r>
      <w:smartTag w:uri="urn:schemas-microsoft-com:office:smarttags" w:element="place">
        <w:smartTag w:uri="urn:schemas-microsoft-com:office:smarttags" w:element="City">
          <w:r w:rsidRPr="00C72492">
            <w:rPr>
              <w:rFonts w:ascii="Arial" w:hAnsi="Arial" w:cs="Arial"/>
              <w:lang w:val="en-GB"/>
            </w:rPr>
            <w:t>Health</w:t>
          </w:r>
        </w:smartTag>
        <w:r w:rsidRPr="00C72492">
          <w:rPr>
            <w:rFonts w:ascii="Arial" w:hAnsi="Arial" w:cs="Arial"/>
            <w:lang w:val="en-GB"/>
          </w:rPr>
          <w:t xml:space="preserve">, </w:t>
        </w:r>
        <w:smartTag w:uri="urn:schemas-microsoft-com:office:smarttags" w:element="country-region">
          <w:r w:rsidRPr="00C72492">
            <w:rPr>
              <w:rFonts w:ascii="Arial" w:hAnsi="Arial" w:cs="Arial"/>
              <w:lang w:val="en-GB"/>
            </w:rPr>
            <w:t>Yemen</w:t>
          </w:r>
        </w:smartTag>
      </w:smartTag>
      <w:r w:rsidRPr="00C72492">
        <w:rPr>
          <w:rFonts w:ascii="Arial" w:hAnsi="Arial" w:cs="Arial"/>
          <w:lang w:val="en-GB"/>
        </w:rPr>
        <w:t xml:space="preserve">. </w:t>
      </w:r>
      <w:r w:rsidRPr="00C72492">
        <w:rPr>
          <w:rFonts w:ascii="Arial" w:hAnsi="Arial" w:cs="Arial"/>
          <w:i/>
          <w:iCs/>
          <w:lang w:val="en-GB"/>
        </w:rPr>
        <w:t xml:space="preserve">Consultative Meeting on </w:t>
      </w:r>
      <w:proofErr w:type="gramStart"/>
      <w:r w:rsidRPr="00C72492">
        <w:rPr>
          <w:rFonts w:ascii="Arial" w:hAnsi="Arial" w:cs="Arial"/>
          <w:i/>
          <w:iCs/>
          <w:lang w:val="en-GB"/>
        </w:rPr>
        <w:t>The</w:t>
      </w:r>
      <w:proofErr w:type="gramEnd"/>
      <w:r w:rsidRPr="00C72492">
        <w:rPr>
          <w:rFonts w:ascii="Arial" w:hAnsi="Arial" w:cs="Arial"/>
          <w:i/>
          <w:iCs/>
          <w:lang w:val="en-GB"/>
        </w:rPr>
        <w:t xml:space="preserve"> Control of Leishmaniasis in the African Region. </w:t>
      </w:r>
      <w:r w:rsidRPr="00C72492">
        <w:rPr>
          <w:rFonts w:ascii="Arial" w:hAnsi="Arial" w:cs="Arial"/>
          <w:i/>
          <w:iCs/>
        </w:rPr>
        <w:t xml:space="preserve">WHO/AFRO Addis </w:t>
      </w:r>
      <w:proofErr w:type="spellStart"/>
      <w:r w:rsidRPr="00C72492">
        <w:rPr>
          <w:rFonts w:ascii="Arial" w:hAnsi="Arial" w:cs="Arial"/>
          <w:i/>
          <w:iCs/>
        </w:rPr>
        <w:t>Ababa</w:t>
      </w:r>
      <w:proofErr w:type="spellEnd"/>
      <w:r w:rsidRPr="00C72492">
        <w:rPr>
          <w:rFonts w:ascii="Arial" w:hAnsi="Arial" w:cs="Arial"/>
          <w:i/>
          <w:iCs/>
        </w:rPr>
        <w:t xml:space="preserve">, 23-25 </w:t>
      </w:r>
      <w:proofErr w:type="spellStart"/>
      <w:r w:rsidRPr="00C72492">
        <w:rPr>
          <w:rFonts w:ascii="Arial" w:hAnsi="Arial" w:cs="Arial"/>
          <w:i/>
          <w:iCs/>
        </w:rPr>
        <w:t>Feb</w:t>
      </w:r>
      <w:proofErr w:type="spellEnd"/>
      <w:r w:rsidRPr="00C72492">
        <w:rPr>
          <w:rFonts w:ascii="Arial" w:hAnsi="Arial" w:cs="Arial"/>
          <w:i/>
          <w:iCs/>
        </w:rPr>
        <w:t xml:space="preserve"> 2010</w:t>
      </w:r>
      <w:r>
        <w:rPr>
          <w:rFonts w:ascii="Arial" w:hAnsi="Arial" w:cs="Arial"/>
          <w:i/>
          <w:iCs/>
        </w:rPr>
        <w:t>.</w:t>
      </w:r>
    </w:p>
    <w:p w:rsidR="00814E61" w:rsidRPr="00D06302" w:rsidRDefault="00814E61" w:rsidP="00814E61">
      <w:pPr>
        <w:ind w:left="0" w:firstLine="0"/>
        <w:rPr>
          <w:sz w:val="22"/>
          <w:lang w:val="en-GB"/>
        </w:rPr>
      </w:pPr>
    </w:p>
    <w:p w:rsidR="00814E61" w:rsidRPr="00D06302" w:rsidRDefault="00814E61" w:rsidP="00814E61">
      <w:pPr>
        <w:rPr>
          <w:sz w:val="22"/>
          <w:lang w:val="en-GB"/>
        </w:rPr>
      </w:pPr>
    </w:p>
    <w:p w:rsidR="00814E61" w:rsidRPr="00D06302" w:rsidRDefault="00814E61" w:rsidP="00814E61">
      <w:pPr>
        <w:rPr>
          <w:sz w:val="22"/>
          <w:lang w:val="en-GB"/>
        </w:rPr>
      </w:pPr>
    </w:p>
    <w:p w:rsidR="00814E61" w:rsidRPr="00814E61" w:rsidRDefault="00814E61" w:rsidP="00814E61">
      <w:pPr>
        <w:ind w:left="0" w:firstLine="0"/>
        <w:rPr>
          <w:sz w:val="22"/>
        </w:rPr>
      </w:pPr>
      <w:r w:rsidRPr="00814E61">
        <w:rPr>
          <w:sz w:val="22"/>
          <w:lang w:val="it-IT"/>
        </w:rPr>
        <w:t xml:space="preserve">1. </w:t>
      </w:r>
      <w:r w:rsidRPr="00814E61">
        <w:rPr>
          <w:sz w:val="22"/>
        </w:rPr>
        <w:fldChar w:fldCharType="begin"/>
      </w:r>
      <w:r w:rsidRPr="00814E61">
        <w:rPr>
          <w:sz w:val="22"/>
          <w:lang w:val="it-IT"/>
        </w:rPr>
        <w:instrText>HYPERLINK "http://www.ncbi.nlm.nih.gov/pubmed?term=%22Khatri%20ML%22%5BAuthor%5D"</w:instrText>
      </w:r>
      <w:r w:rsidRPr="00814E61">
        <w:rPr>
          <w:sz w:val="22"/>
        </w:rPr>
        <w:fldChar w:fldCharType="separate"/>
      </w:r>
      <w:r w:rsidRPr="00814E61">
        <w:rPr>
          <w:rStyle w:val="Hyperlink"/>
          <w:color w:val="auto"/>
          <w:sz w:val="22"/>
          <w:u w:val="none"/>
          <w:lang w:val="it-IT"/>
        </w:rPr>
        <w:t>Khatri ML</w:t>
      </w:r>
      <w:r w:rsidRPr="00814E61">
        <w:rPr>
          <w:sz w:val="22"/>
        </w:rPr>
        <w:fldChar w:fldCharType="end"/>
      </w:r>
      <w:r w:rsidRPr="00814E61">
        <w:rPr>
          <w:sz w:val="22"/>
          <w:lang w:val="it-IT"/>
        </w:rPr>
        <w:t xml:space="preserve">, </w:t>
      </w:r>
      <w:hyperlink r:id="rId10" w:history="1">
        <w:r w:rsidRPr="00814E61">
          <w:rPr>
            <w:rStyle w:val="Hyperlink"/>
            <w:color w:val="auto"/>
            <w:sz w:val="22"/>
            <w:u w:val="none"/>
            <w:lang w:val="it-IT"/>
          </w:rPr>
          <w:t>Di Muccio T</w:t>
        </w:r>
      </w:hyperlink>
      <w:r w:rsidRPr="00814E61">
        <w:rPr>
          <w:sz w:val="22"/>
          <w:lang w:val="it-IT"/>
        </w:rPr>
        <w:t xml:space="preserve">, </w:t>
      </w:r>
      <w:hyperlink r:id="rId11" w:history="1">
        <w:r w:rsidRPr="00814E61">
          <w:rPr>
            <w:rStyle w:val="Hyperlink"/>
            <w:color w:val="auto"/>
            <w:sz w:val="22"/>
            <w:u w:val="none"/>
            <w:lang w:val="it-IT"/>
          </w:rPr>
          <w:t>Gramiccia M</w:t>
        </w:r>
      </w:hyperlink>
      <w:r w:rsidRPr="00814E61">
        <w:rPr>
          <w:sz w:val="22"/>
        </w:rPr>
        <w:t xml:space="preserve"> (2009)</w:t>
      </w:r>
      <w:r w:rsidRPr="00814E61">
        <w:rPr>
          <w:sz w:val="22"/>
          <w:lang w:val="it-IT"/>
        </w:rPr>
        <w:t xml:space="preserve">. Cutaneous leishmaniasis in North-Western Yemen: a clinicoepidemiologic study and Leishmania species identification by polymerase chain reaction-restriction fragment length polymorphism analysis. </w:t>
      </w:r>
      <w:r w:rsidRPr="00814E61">
        <w:rPr>
          <w:sz w:val="22"/>
        </w:rPr>
        <w:fldChar w:fldCharType="begin"/>
      </w:r>
      <w:r w:rsidRPr="00814E61">
        <w:rPr>
          <w:sz w:val="22"/>
          <w:lang w:val="it-IT"/>
        </w:rPr>
        <w:instrText xml:space="preserve"> HYPERLINK "javascript:AL_get(this,%20'jour',%20'J%20Am%20Acad%20%0d%0aDermatol.');" \o "Journal of the American Academy of Dermatology." </w:instrText>
      </w:r>
      <w:r w:rsidRPr="00814E61">
        <w:rPr>
          <w:sz w:val="22"/>
        </w:rPr>
        <w:fldChar w:fldCharType="separate"/>
      </w:r>
      <w:r w:rsidRPr="00814E61">
        <w:rPr>
          <w:rStyle w:val="Hyperlink"/>
          <w:color w:val="auto"/>
          <w:sz w:val="22"/>
          <w:u w:val="none"/>
        </w:rPr>
        <w:t xml:space="preserve">J Am </w:t>
      </w:r>
      <w:proofErr w:type="spellStart"/>
      <w:r w:rsidRPr="00814E61">
        <w:rPr>
          <w:rStyle w:val="Hyperlink"/>
          <w:color w:val="auto"/>
          <w:sz w:val="22"/>
          <w:u w:val="none"/>
        </w:rPr>
        <w:t>Acad</w:t>
      </w:r>
      <w:proofErr w:type="spellEnd"/>
      <w:r w:rsidRPr="00814E61">
        <w:rPr>
          <w:rStyle w:val="Hyperlink"/>
          <w:color w:val="auto"/>
          <w:sz w:val="22"/>
          <w:u w:val="none"/>
        </w:rPr>
        <w:t xml:space="preserve"> </w:t>
      </w:r>
      <w:proofErr w:type="spellStart"/>
      <w:r w:rsidRPr="00814E61">
        <w:rPr>
          <w:rStyle w:val="Hyperlink"/>
          <w:color w:val="auto"/>
          <w:sz w:val="22"/>
          <w:u w:val="none"/>
        </w:rPr>
        <w:t>Dermatol</w:t>
      </w:r>
      <w:proofErr w:type="spellEnd"/>
      <w:r w:rsidRPr="00814E61">
        <w:rPr>
          <w:rStyle w:val="Hyperlink"/>
          <w:color w:val="auto"/>
          <w:sz w:val="22"/>
          <w:u w:val="none"/>
        </w:rPr>
        <w:t>.</w:t>
      </w:r>
      <w:r w:rsidRPr="00814E61">
        <w:rPr>
          <w:sz w:val="22"/>
        </w:rPr>
        <w:fldChar w:fldCharType="end"/>
      </w:r>
      <w:r w:rsidRPr="00814E61">
        <w:rPr>
          <w:sz w:val="22"/>
        </w:rPr>
        <w:t xml:space="preserve"> 61(4).</w:t>
      </w:r>
    </w:p>
    <w:p w:rsidR="00814E61" w:rsidRPr="00814E61" w:rsidRDefault="00814E61" w:rsidP="00814E61">
      <w:pPr>
        <w:ind w:left="0" w:firstLine="0"/>
        <w:rPr>
          <w:sz w:val="22"/>
        </w:rPr>
      </w:pPr>
    </w:p>
    <w:p w:rsidR="00814E61" w:rsidRPr="00814E61" w:rsidRDefault="00814E61" w:rsidP="00814E61">
      <w:pPr>
        <w:ind w:left="0" w:firstLine="0"/>
        <w:rPr>
          <w:sz w:val="22"/>
        </w:rPr>
      </w:pPr>
      <w:r w:rsidRPr="00814E61">
        <w:rPr>
          <w:sz w:val="22"/>
        </w:rPr>
        <w:t xml:space="preserve">2. </w:t>
      </w:r>
      <w:hyperlink r:id="rId12" w:history="1">
        <w:proofErr w:type="spellStart"/>
        <w:r w:rsidRPr="00814E61">
          <w:rPr>
            <w:rStyle w:val="Hyperlink"/>
            <w:color w:val="auto"/>
            <w:sz w:val="22"/>
            <w:u w:val="none"/>
          </w:rPr>
          <w:t>Khatri</w:t>
        </w:r>
        <w:proofErr w:type="spellEnd"/>
        <w:r w:rsidRPr="00814E61">
          <w:rPr>
            <w:rStyle w:val="Hyperlink"/>
            <w:color w:val="auto"/>
            <w:sz w:val="22"/>
            <w:u w:val="none"/>
          </w:rPr>
          <w:t xml:space="preserve"> ML</w:t>
        </w:r>
      </w:hyperlink>
      <w:r w:rsidRPr="00814E61">
        <w:rPr>
          <w:sz w:val="22"/>
        </w:rPr>
        <w:t xml:space="preserve">, </w:t>
      </w:r>
      <w:hyperlink r:id="rId13" w:history="1">
        <w:proofErr w:type="spellStart"/>
        <w:r w:rsidRPr="00814E61">
          <w:rPr>
            <w:rStyle w:val="Hyperlink"/>
            <w:color w:val="auto"/>
            <w:sz w:val="22"/>
            <w:u w:val="none"/>
          </w:rPr>
          <w:t>Haider</w:t>
        </w:r>
        <w:proofErr w:type="spellEnd"/>
        <w:r w:rsidRPr="00814E61">
          <w:rPr>
            <w:rStyle w:val="Hyperlink"/>
            <w:color w:val="auto"/>
            <w:sz w:val="22"/>
            <w:u w:val="none"/>
          </w:rPr>
          <w:t xml:space="preserve"> N</w:t>
        </w:r>
      </w:hyperlink>
      <w:r w:rsidRPr="00814E61">
        <w:rPr>
          <w:sz w:val="22"/>
        </w:rPr>
        <w:t xml:space="preserve">, </w:t>
      </w:r>
      <w:hyperlink r:id="rId14" w:history="1">
        <w:r w:rsidRPr="00814E61">
          <w:rPr>
            <w:rStyle w:val="Hyperlink"/>
            <w:color w:val="auto"/>
            <w:sz w:val="22"/>
            <w:u w:val="none"/>
          </w:rPr>
          <w:t xml:space="preserve">Di </w:t>
        </w:r>
        <w:proofErr w:type="spellStart"/>
        <w:r w:rsidRPr="00814E61">
          <w:rPr>
            <w:rStyle w:val="Hyperlink"/>
            <w:color w:val="auto"/>
            <w:sz w:val="22"/>
            <w:u w:val="none"/>
          </w:rPr>
          <w:t>Muccio</w:t>
        </w:r>
        <w:proofErr w:type="spellEnd"/>
        <w:r w:rsidRPr="00814E61">
          <w:rPr>
            <w:rStyle w:val="Hyperlink"/>
            <w:color w:val="auto"/>
            <w:sz w:val="22"/>
            <w:u w:val="none"/>
          </w:rPr>
          <w:t xml:space="preserve"> T</w:t>
        </w:r>
      </w:hyperlink>
      <w:r w:rsidRPr="00814E61">
        <w:rPr>
          <w:sz w:val="22"/>
        </w:rPr>
        <w:t xml:space="preserve">, </w:t>
      </w:r>
      <w:hyperlink r:id="rId15" w:history="1">
        <w:proofErr w:type="spellStart"/>
        <w:r w:rsidRPr="00814E61">
          <w:rPr>
            <w:rStyle w:val="Hyperlink"/>
            <w:color w:val="auto"/>
            <w:sz w:val="22"/>
            <w:u w:val="none"/>
          </w:rPr>
          <w:t>Gramiccia</w:t>
        </w:r>
        <w:proofErr w:type="spellEnd"/>
        <w:r w:rsidRPr="00814E61">
          <w:rPr>
            <w:rStyle w:val="Hyperlink"/>
            <w:color w:val="auto"/>
            <w:sz w:val="22"/>
            <w:u w:val="none"/>
          </w:rPr>
          <w:t xml:space="preserve"> M</w:t>
        </w:r>
      </w:hyperlink>
      <w:r w:rsidRPr="00814E61">
        <w:rPr>
          <w:sz w:val="22"/>
        </w:rPr>
        <w:t xml:space="preserve"> (2006) Cutaneous leishmaniasis in Yemen: </w:t>
      </w:r>
      <w:proofErr w:type="spellStart"/>
      <w:r w:rsidRPr="00814E61">
        <w:rPr>
          <w:sz w:val="22"/>
        </w:rPr>
        <w:t>clinicoepidemiologic</w:t>
      </w:r>
      <w:proofErr w:type="spellEnd"/>
      <w:r w:rsidRPr="00814E61">
        <w:rPr>
          <w:sz w:val="22"/>
        </w:rPr>
        <w:t xml:space="preserve"> </w:t>
      </w:r>
      <w:proofErr w:type="spellStart"/>
      <w:r w:rsidRPr="00814E61">
        <w:rPr>
          <w:sz w:val="22"/>
        </w:rPr>
        <w:t>features</w:t>
      </w:r>
      <w:proofErr w:type="spellEnd"/>
      <w:r w:rsidRPr="00814E61">
        <w:rPr>
          <w:sz w:val="22"/>
        </w:rPr>
        <w:t xml:space="preserve"> and a </w:t>
      </w:r>
      <w:proofErr w:type="spellStart"/>
      <w:r w:rsidRPr="00814E61">
        <w:rPr>
          <w:sz w:val="22"/>
        </w:rPr>
        <w:t>preliminary</w:t>
      </w:r>
      <w:proofErr w:type="spellEnd"/>
      <w:r w:rsidRPr="00814E61">
        <w:rPr>
          <w:sz w:val="22"/>
        </w:rPr>
        <w:t xml:space="preserve"> </w:t>
      </w:r>
      <w:proofErr w:type="spellStart"/>
      <w:r w:rsidRPr="00814E61">
        <w:rPr>
          <w:sz w:val="22"/>
        </w:rPr>
        <w:t>report</w:t>
      </w:r>
      <w:proofErr w:type="spellEnd"/>
      <w:r w:rsidRPr="00814E61">
        <w:rPr>
          <w:sz w:val="22"/>
        </w:rPr>
        <w:t xml:space="preserve"> </w:t>
      </w:r>
      <w:proofErr w:type="spellStart"/>
      <w:r w:rsidRPr="00814E61">
        <w:rPr>
          <w:sz w:val="22"/>
        </w:rPr>
        <w:t>on</w:t>
      </w:r>
      <w:proofErr w:type="spellEnd"/>
      <w:r w:rsidRPr="00814E61">
        <w:rPr>
          <w:sz w:val="22"/>
        </w:rPr>
        <w:t xml:space="preserve"> </w:t>
      </w:r>
      <w:proofErr w:type="spellStart"/>
      <w:r w:rsidRPr="00814E61">
        <w:rPr>
          <w:sz w:val="22"/>
        </w:rPr>
        <w:t>species</w:t>
      </w:r>
      <w:proofErr w:type="spellEnd"/>
      <w:r w:rsidRPr="00814E61">
        <w:rPr>
          <w:sz w:val="22"/>
        </w:rPr>
        <w:t xml:space="preserve"> </w:t>
      </w:r>
      <w:proofErr w:type="spellStart"/>
      <w:r w:rsidRPr="00814E61">
        <w:rPr>
          <w:sz w:val="22"/>
        </w:rPr>
        <w:t>identification</w:t>
      </w:r>
      <w:proofErr w:type="spellEnd"/>
      <w:r w:rsidRPr="00814E61">
        <w:rPr>
          <w:sz w:val="22"/>
        </w:rPr>
        <w:t xml:space="preserve">. </w:t>
      </w:r>
      <w:hyperlink r:id="rId16" w:tooltip="International journal of dermatology." w:history="1">
        <w:proofErr w:type="spellStart"/>
        <w:r w:rsidRPr="00814E61">
          <w:rPr>
            <w:rStyle w:val="Hyperlink"/>
            <w:color w:val="auto"/>
            <w:sz w:val="22"/>
            <w:u w:val="none"/>
          </w:rPr>
          <w:t>Int</w:t>
        </w:r>
        <w:proofErr w:type="spellEnd"/>
        <w:r w:rsidRPr="00814E61">
          <w:rPr>
            <w:rStyle w:val="Hyperlink"/>
            <w:color w:val="auto"/>
            <w:sz w:val="22"/>
            <w:u w:val="none"/>
          </w:rPr>
          <w:t xml:space="preserve"> J </w:t>
        </w:r>
        <w:proofErr w:type="spellStart"/>
        <w:r w:rsidRPr="00814E61">
          <w:rPr>
            <w:rStyle w:val="Hyperlink"/>
            <w:color w:val="auto"/>
            <w:sz w:val="22"/>
            <w:u w:val="none"/>
          </w:rPr>
          <w:t>Dermatol</w:t>
        </w:r>
        <w:proofErr w:type="spellEnd"/>
        <w:r w:rsidRPr="00814E61">
          <w:rPr>
            <w:rStyle w:val="Hyperlink"/>
            <w:color w:val="auto"/>
            <w:sz w:val="22"/>
            <w:u w:val="none"/>
          </w:rPr>
          <w:t xml:space="preserve"> </w:t>
        </w:r>
      </w:hyperlink>
      <w:r w:rsidRPr="00814E61">
        <w:rPr>
          <w:sz w:val="22"/>
        </w:rPr>
        <w:t>45(1):40-5.</w:t>
      </w:r>
    </w:p>
    <w:sectPr w:rsidR="00814E61" w:rsidRPr="00814E61"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37272"/>
    <w:multiLevelType w:val="hybridMultilevel"/>
    <w:tmpl w:val="6E7ACC2C"/>
    <w:lvl w:ilvl="0" w:tplc="92A8E2A4">
      <w:start w:val="1"/>
      <w:numFmt w:val="bullet"/>
      <w:lvlText w:val="•"/>
      <w:lvlJc w:val="left"/>
      <w:pPr>
        <w:tabs>
          <w:tab w:val="num" w:pos="360"/>
        </w:tabs>
        <w:ind w:left="360" w:hanging="360"/>
      </w:pPr>
      <w:rPr>
        <w:rFonts w:ascii="Times New Roman" w:hAnsi="Times New Roman" w:hint="default"/>
      </w:rPr>
    </w:lvl>
    <w:lvl w:ilvl="1" w:tplc="08090001">
      <w:start w:val="1"/>
      <w:numFmt w:val="bullet"/>
      <w:lvlText w:val=""/>
      <w:lvlJc w:val="left"/>
      <w:pPr>
        <w:tabs>
          <w:tab w:val="num" w:pos="1080"/>
        </w:tabs>
        <w:ind w:left="1080" w:hanging="360"/>
      </w:pPr>
      <w:rPr>
        <w:rFonts w:ascii="Symbol" w:hAnsi="Symbol" w:hint="default"/>
      </w:rPr>
    </w:lvl>
    <w:lvl w:ilvl="2" w:tplc="7638C90E" w:tentative="1">
      <w:start w:val="1"/>
      <w:numFmt w:val="bullet"/>
      <w:lvlText w:val="•"/>
      <w:lvlJc w:val="left"/>
      <w:pPr>
        <w:tabs>
          <w:tab w:val="num" w:pos="1800"/>
        </w:tabs>
        <w:ind w:left="1800" w:hanging="360"/>
      </w:pPr>
      <w:rPr>
        <w:rFonts w:ascii="Times New Roman" w:hAnsi="Times New Roman" w:hint="default"/>
      </w:rPr>
    </w:lvl>
    <w:lvl w:ilvl="3" w:tplc="D7825968" w:tentative="1">
      <w:start w:val="1"/>
      <w:numFmt w:val="bullet"/>
      <w:lvlText w:val="•"/>
      <w:lvlJc w:val="left"/>
      <w:pPr>
        <w:tabs>
          <w:tab w:val="num" w:pos="2520"/>
        </w:tabs>
        <w:ind w:left="2520" w:hanging="360"/>
      </w:pPr>
      <w:rPr>
        <w:rFonts w:ascii="Times New Roman" w:hAnsi="Times New Roman" w:hint="default"/>
      </w:rPr>
    </w:lvl>
    <w:lvl w:ilvl="4" w:tplc="5EF09BB0" w:tentative="1">
      <w:start w:val="1"/>
      <w:numFmt w:val="bullet"/>
      <w:lvlText w:val="•"/>
      <w:lvlJc w:val="left"/>
      <w:pPr>
        <w:tabs>
          <w:tab w:val="num" w:pos="3240"/>
        </w:tabs>
        <w:ind w:left="3240" w:hanging="360"/>
      </w:pPr>
      <w:rPr>
        <w:rFonts w:ascii="Times New Roman" w:hAnsi="Times New Roman" w:hint="default"/>
      </w:rPr>
    </w:lvl>
    <w:lvl w:ilvl="5" w:tplc="172A0772" w:tentative="1">
      <w:start w:val="1"/>
      <w:numFmt w:val="bullet"/>
      <w:lvlText w:val="•"/>
      <w:lvlJc w:val="left"/>
      <w:pPr>
        <w:tabs>
          <w:tab w:val="num" w:pos="3960"/>
        </w:tabs>
        <w:ind w:left="3960" w:hanging="360"/>
      </w:pPr>
      <w:rPr>
        <w:rFonts w:ascii="Times New Roman" w:hAnsi="Times New Roman" w:hint="default"/>
      </w:rPr>
    </w:lvl>
    <w:lvl w:ilvl="6" w:tplc="08F85A82" w:tentative="1">
      <w:start w:val="1"/>
      <w:numFmt w:val="bullet"/>
      <w:lvlText w:val="•"/>
      <w:lvlJc w:val="left"/>
      <w:pPr>
        <w:tabs>
          <w:tab w:val="num" w:pos="4680"/>
        </w:tabs>
        <w:ind w:left="4680" w:hanging="360"/>
      </w:pPr>
      <w:rPr>
        <w:rFonts w:ascii="Times New Roman" w:hAnsi="Times New Roman" w:hint="default"/>
      </w:rPr>
    </w:lvl>
    <w:lvl w:ilvl="7" w:tplc="879E5CDA" w:tentative="1">
      <w:start w:val="1"/>
      <w:numFmt w:val="bullet"/>
      <w:lvlText w:val="•"/>
      <w:lvlJc w:val="left"/>
      <w:pPr>
        <w:tabs>
          <w:tab w:val="num" w:pos="5400"/>
        </w:tabs>
        <w:ind w:left="5400" w:hanging="360"/>
      </w:pPr>
      <w:rPr>
        <w:rFonts w:ascii="Times New Roman" w:hAnsi="Times New Roman" w:hint="default"/>
      </w:rPr>
    </w:lvl>
    <w:lvl w:ilvl="8" w:tplc="6A9C83C2" w:tentative="1">
      <w:start w:val="1"/>
      <w:numFmt w:val="bullet"/>
      <w:lvlText w:val="•"/>
      <w:lvlJc w:val="left"/>
      <w:pPr>
        <w:tabs>
          <w:tab w:val="num" w:pos="6120"/>
        </w:tabs>
        <w:ind w:left="6120" w:hanging="360"/>
      </w:pPr>
      <w:rPr>
        <w:rFonts w:ascii="Times New Roman" w:hAnsi="Times New Roman"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14E61"/>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50EE0"/>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14E61"/>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61"/>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814E61"/>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814E61"/>
    <w:rPr>
      <w:color w:val="0000FF"/>
      <w:u w:val="single"/>
    </w:rPr>
  </w:style>
  <w:style w:type="paragraph" w:customStyle="1" w:styleId="Sinespaciado">
    <w:name w:val="Sin espaciado"/>
    <w:link w:val="SinespaciadoCar"/>
    <w:qFormat/>
    <w:rsid w:val="00814E61"/>
    <w:pPr>
      <w:spacing w:after="0" w:line="240" w:lineRule="auto"/>
    </w:pPr>
    <w:rPr>
      <w:rFonts w:ascii="Calibri" w:eastAsia="Times New Roman" w:hAnsi="Calibri" w:cs="Times New Roman"/>
      <w:lang w:val="es-ES"/>
    </w:rPr>
  </w:style>
  <w:style w:type="character" w:customStyle="1" w:styleId="SinespaciadoCar">
    <w:name w:val="Sin espaciado Car"/>
    <w:basedOn w:val="DefaultParagraphFont"/>
    <w:link w:val="Sinespaciado"/>
    <w:rsid w:val="00814E61"/>
    <w:rPr>
      <w:rFonts w:ascii="Calibri" w:eastAsia="Times New Roman" w:hAnsi="Calibri" w:cs="Times New Roman"/>
      <w:lang w:val="es-ES"/>
    </w:rPr>
  </w:style>
  <w:style w:type="paragraph" w:styleId="BalloonText">
    <w:name w:val="Balloon Text"/>
    <w:basedOn w:val="Normal"/>
    <w:link w:val="BalloonTextChar"/>
    <w:uiPriority w:val="99"/>
    <w:semiHidden/>
    <w:unhideWhenUsed/>
    <w:rsid w:val="00814E61"/>
    <w:rPr>
      <w:rFonts w:ascii="Tahoma" w:hAnsi="Tahoma" w:cs="Tahoma"/>
      <w:sz w:val="16"/>
      <w:szCs w:val="16"/>
    </w:rPr>
  </w:style>
  <w:style w:type="character" w:customStyle="1" w:styleId="BalloonTextChar">
    <w:name w:val="Balloon Text Char"/>
    <w:basedOn w:val="DefaultParagraphFont"/>
    <w:link w:val="BalloonText"/>
    <w:uiPriority w:val="99"/>
    <w:semiHidden/>
    <w:rsid w:val="00814E61"/>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cbi.nlm.nih.gov/pubmed?term=%22Haider%20N%22%5BAuthor%5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term=%22Khatri%20ML%22%5BAuthor%5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AL_get(this,%20'jour',%20'Int%20J%20%0d%0aDermato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term=%22Gramiccia%20M%22%5BAuthor%5D" TargetMode="External"/><Relationship Id="rId5" Type="http://schemas.openxmlformats.org/officeDocument/2006/relationships/image" Target="media/image1.jpeg"/><Relationship Id="rId15" Type="http://schemas.openxmlformats.org/officeDocument/2006/relationships/hyperlink" Target="http://www.ncbi.nlm.nih.gov/pubmed?term=%22Gramiccia%20M%22%5BAuthor%5D" TargetMode="External"/><Relationship Id="rId10" Type="http://schemas.openxmlformats.org/officeDocument/2006/relationships/hyperlink" Target="http://www.ncbi.nlm.nih.gov/pubmed?term=%22Di%20Muccio%20T%22%5BAuthor%5D"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ncbi.nlm.nih.gov/pubmed?term=%22Di%20Muccio%20T%22%5BAuthor%5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3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6521739130434793"/>
          <c:y val="6.3380281690140872E-2"/>
          <c:w val="0.80579710144927563"/>
          <c:h val="0.57746478873239415"/>
        </c:manualLayout>
      </c:layout>
      <c:bar3DChart>
        <c:barDir val="col"/>
        <c:grouping val="clustered"/>
        <c:ser>
          <c:idx val="0"/>
          <c:order val="0"/>
          <c:tx>
            <c:strRef>
              <c:f>Sheet1!$A$2</c:f>
              <c:strCache>
                <c:ptCount val="1"/>
                <c:pt idx="0">
                  <c:v>cases</c:v>
                </c:pt>
              </c:strCache>
            </c:strRef>
          </c:tx>
          <c:spPr>
            <a:solidFill>
              <a:srgbClr val="4F81BD"/>
            </a:solidFill>
            <a:ln w="12707">
              <a:solidFill>
                <a:srgbClr val="000000"/>
              </a:solidFill>
              <a:prstDash val="solid"/>
            </a:ln>
          </c:spPr>
          <c:cat>
            <c:numRef>
              <c:f>Sheet1!$B$1:$Q$1</c:f>
              <c:numCache>
                <c:formatCode>General</c:formatCode>
                <c:ptCount val="5"/>
                <c:pt idx="0">
                  <c:v>2005</c:v>
                </c:pt>
                <c:pt idx="1">
                  <c:v>2006</c:v>
                </c:pt>
                <c:pt idx="2">
                  <c:v>2007</c:v>
                </c:pt>
                <c:pt idx="3">
                  <c:v>2008</c:v>
                </c:pt>
                <c:pt idx="4">
                  <c:v>2009</c:v>
                </c:pt>
              </c:numCache>
            </c:numRef>
          </c:cat>
          <c:val>
            <c:numRef>
              <c:f>Sheet1!$B$2:$Q$2</c:f>
              <c:numCache>
                <c:formatCode>General</c:formatCode>
                <c:ptCount val="5"/>
                <c:pt idx="0">
                  <c:v>1891</c:v>
                </c:pt>
                <c:pt idx="1">
                  <c:v>1970</c:v>
                </c:pt>
                <c:pt idx="2">
                  <c:v>1116</c:v>
                </c:pt>
                <c:pt idx="3">
                  <c:v>1090</c:v>
                </c:pt>
                <c:pt idx="4">
                  <c:v>1800</c:v>
                </c:pt>
              </c:numCache>
            </c:numRef>
          </c:val>
        </c:ser>
        <c:gapDepth val="0"/>
        <c:shape val="box"/>
        <c:axId val="392443392"/>
        <c:axId val="392452352"/>
        <c:axId val="0"/>
      </c:bar3DChart>
      <c:catAx>
        <c:axId val="392443392"/>
        <c:scaling>
          <c:orientation val="minMax"/>
        </c:scaling>
        <c:axPos val="b"/>
        <c:numFmt formatCode="General" sourceLinked="1"/>
        <c:tickLblPos val="low"/>
        <c:spPr>
          <a:ln w="3177">
            <a:solidFill>
              <a:srgbClr val="000000"/>
            </a:solidFill>
            <a:prstDash val="solid"/>
          </a:ln>
        </c:spPr>
        <c:txPr>
          <a:bodyPr rot="0" vert="horz"/>
          <a:lstStyle/>
          <a:p>
            <a:pPr>
              <a:defRPr sz="400" b="1" i="0" u="none" strike="noStrike" baseline="0">
                <a:solidFill>
                  <a:srgbClr val="000000"/>
                </a:solidFill>
                <a:latin typeface="Arial"/>
                <a:ea typeface="Arial"/>
                <a:cs typeface="Arial"/>
              </a:defRPr>
            </a:pPr>
            <a:endParaRPr lang="en-US"/>
          </a:p>
        </c:txPr>
        <c:crossAx val="392452352"/>
        <c:crosses val="autoZero"/>
        <c:auto val="1"/>
        <c:lblAlgn val="ctr"/>
        <c:lblOffset val="100"/>
        <c:tickLblSkip val="1"/>
        <c:tickMarkSkip val="1"/>
      </c:catAx>
      <c:valAx>
        <c:axId val="392452352"/>
        <c:scaling>
          <c:orientation val="minMax"/>
        </c:scaling>
        <c:axPos val="l"/>
        <c:numFmt formatCode="General" sourceLinked="1"/>
        <c:tickLblPos val="nextTo"/>
        <c:spPr>
          <a:ln w="3177">
            <a:solidFill>
              <a:srgbClr val="000000"/>
            </a:solidFill>
            <a:prstDash val="solid"/>
          </a:ln>
        </c:spPr>
        <c:txPr>
          <a:bodyPr rot="0" vert="horz"/>
          <a:lstStyle/>
          <a:p>
            <a:pPr>
              <a:defRPr sz="400" b="1" i="0" u="none" strike="noStrike" baseline="0">
                <a:solidFill>
                  <a:srgbClr val="000000"/>
                </a:solidFill>
                <a:latin typeface="Arial"/>
                <a:ea typeface="Arial"/>
                <a:cs typeface="Arial"/>
              </a:defRPr>
            </a:pPr>
            <a:endParaRPr lang="en-US"/>
          </a:p>
        </c:txPr>
        <c:crossAx val="392443392"/>
        <c:crosses val="autoZero"/>
        <c:crossBetween val="between"/>
      </c:valAx>
      <c:dTable>
        <c:showHorzBorder val="1"/>
        <c:showVertBorder val="1"/>
        <c:showOutline val="1"/>
        <c:showKeys val="1"/>
        <c:spPr>
          <a:ln w="3177">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414">
          <a:noFill/>
        </a:ln>
      </c:spPr>
    </c:plotArea>
    <c:plotVisOnly val="1"/>
    <c:dispBlanksAs val="gap"/>
  </c:chart>
  <c:spPr>
    <a:noFill/>
    <a:ln>
      <a:noFill/>
    </a:ln>
  </c:spPr>
  <c:txPr>
    <a:bodyPr/>
    <a:lstStyle/>
    <a:p>
      <a:pPr>
        <a:defRPr sz="4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2012-04-02T19:09:00Z</dcterms:created>
  <dcterms:modified xsi:type="dcterms:W3CDTF">2012-04-02T19:11:00Z</dcterms:modified>
</cp:coreProperties>
</file>