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BA" w:rsidRPr="00D177CE" w:rsidRDefault="005E1BBA" w:rsidP="005E1BBA">
      <w:pPr>
        <w:ind w:left="0" w:firstLine="0"/>
        <w:rPr>
          <w:b/>
          <w:lang w:val="en-US"/>
        </w:rPr>
      </w:pPr>
      <w:r w:rsidRPr="00D177CE">
        <w:rPr>
          <w:b/>
          <w:lang w:val="en-US"/>
        </w:rPr>
        <w:t>GUYANA</w:t>
      </w:r>
    </w:p>
    <w:p w:rsidR="005E1BBA" w:rsidRPr="00D177CE" w:rsidRDefault="005E1BBA" w:rsidP="005E1BBA">
      <w:pPr>
        <w:ind w:left="0" w:firstLine="0"/>
        <w:rPr>
          <w:b/>
          <w:sz w:val="22"/>
          <w:u w:val="single"/>
          <w:lang w:val="en-US"/>
        </w:rPr>
      </w:pPr>
    </w:p>
    <w:p w:rsidR="005E1BBA" w:rsidRPr="002C75B8" w:rsidRDefault="005E1BBA" w:rsidP="005E1BBA">
      <w:pPr>
        <w:ind w:left="0" w:firstLine="0"/>
        <w:rPr>
          <w:sz w:val="22"/>
          <w:lang w:val="en-US"/>
        </w:rPr>
      </w:pPr>
      <w:r>
        <w:rPr>
          <w:noProof/>
          <w:sz w:val="22"/>
          <w:lang w:val="en-US"/>
        </w:rPr>
        <w:drawing>
          <wp:inline distT="0" distB="0" distL="0" distR="0">
            <wp:extent cx="2948940" cy="1981200"/>
            <wp:effectExtent l="19050" t="0" r="3810" b="0"/>
            <wp:docPr id="1" name="Imagen 1" descr="GY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YWORLD"/>
                    <pic:cNvPicPr>
                      <a:picLocks noChangeAspect="1" noChangeArrowheads="1"/>
                    </pic:cNvPicPr>
                  </pic:nvPicPr>
                  <pic:blipFill>
                    <a:blip r:embed="rId5" cstate="print"/>
                    <a:srcRect/>
                    <a:stretch>
                      <a:fillRect/>
                    </a:stretch>
                  </pic:blipFill>
                  <pic:spPr bwMode="auto">
                    <a:xfrm>
                      <a:off x="0" y="0"/>
                      <a:ext cx="2948940" cy="1981200"/>
                    </a:xfrm>
                    <a:prstGeom prst="rect">
                      <a:avLst/>
                    </a:prstGeom>
                    <a:noFill/>
                    <a:ln w="9525">
                      <a:noFill/>
                      <a:miter lim="800000"/>
                      <a:headEnd/>
                      <a:tailEnd/>
                    </a:ln>
                  </pic:spPr>
                </pic:pic>
              </a:graphicData>
            </a:graphic>
          </wp:inline>
        </w:drawing>
      </w:r>
    </w:p>
    <w:p w:rsidR="005E1BBA" w:rsidRPr="002C75B8" w:rsidRDefault="005E1BBA" w:rsidP="005E1BBA">
      <w:pPr>
        <w:ind w:left="0" w:firstLine="0"/>
        <w:rPr>
          <w:b/>
          <w:sz w:val="22"/>
          <w:lang w:val="en-US"/>
        </w:rPr>
      </w:pPr>
      <w:r w:rsidRPr="002C75B8">
        <w:rPr>
          <w:b/>
          <w:sz w:val="22"/>
          <w:lang w:val="en-US"/>
        </w:rPr>
        <w:t>¨</w:t>
      </w:r>
    </w:p>
    <w:p w:rsidR="005E1BBA" w:rsidRPr="002C75B8" w:rsidRDefault="005E1BBA" w:rsidP="005E1BBA">
      <w:pPr>
        <w:ind w:left="0" w:firstLine="0"/>
        <w:rPr>
          <w:b/>
          <w:sz w:val="22"/>
          <w:lang w:val="en-US"/>
        </w:rPr>
      </w:pPr>
      <w:r w:rsidRPr="002C75B8">
        <w:rPr>
          <w:b/>
          <w:sz w:val="22"/>
          <w:lang w:val="en-US"/>
        </w:rPr>
        <w:t>BASIC COUNTRY DATA</w:t>
      </w:r>
    </w:p>
    <w:p w:rsidR="005E1BBA" w:rsidRPr="002C75B8" w:rsidRDefault="005E1BBA" w:rsidP="005E1BBA">
      <w:pPr>
        <w:ind w:left="0" w:firstLine="0"/>
        <w:rPr>
          <w:b/>
          <w:sz w:val="22"/>
          <w:lang w:val="en-US"/>
        </w:rPr>
      </w:pPr>
    </w:p>
    <w:p w:rsidR="005E1BBA" w:rsidRPr="002C75B8" w:rsidRDefault="005E1BBA" w:rsidP="005E1BBA">
      <w:pPr>
        <w:ind w:left="0" w:firstLine="0"/>
        <w:rPr>
          <w:sz w:val="22"/>
          <w:lang w:val="en-US"/>
        </w:rPr>
      </w:pPr>
      <w:r w:rsidRPr="002C75B8">
        <w:rPr>
          <w:sz w:val="22"/>
          <w:lang w:val="en-US"/>
        </w:rPr>
        <w:t>Total Population: 7</w:t>
      </w:r>
      <w:r>
        <w:rPr>
          <w:sz w:val="22"/>
          <w:lang w:val="en-US"/>
        </w:rPr>
        <w:t>54,493</w:t>
      </w:r>
      <w:r w:rsidRPr="002C75B8">
        <w:rPr>
          <w:sz w:val="22"/>
          <w:lang w:val="en-US"/>
        </w:rPr>
        <w:t xml:space="preserve"> </w:t>
      </w:r>
    </w:p>
    <w:p w:rsidR="005E1BBA" w:rsidRPr="002C75B8" w:rsidRDefault="005E1BBA" w:rsidP="005E1BBA">
      <w:pPr>
        <w:ind w:left="0" w:firstLine="0"/>
        <w:rPr>
          <w:sz w:val="22"/>
          <w:lang w:val="en-US"/>
        </w:rPr>
      </w:pPr>
      <w:r w:rsidRPr="002C75B8">
        <w:rPr>
          <w:sz w:val="22"/>
          <w:lang w:val="en-US"/>
        </w:rPr>
        <w:t>Population 0-14 years: 3</w:t>
      </w:r>
      <w:r>
        <w:rPr>
          <w:sz w:val="22"/>
          <w:lang w:val="en-US"/>
        </w:rPr>
        <w:t>4</w:t>
      </w:r>
      <w:r w:rsidRPr="002C75B8">
        <w:rPr>
          <w:sz w:val="22"/>
          <w:lang w:val="en-US"/>
        </w:rPr>
        <w:t xml:space="preserve">% </w:t>
      </w:r>
    </w:p>
    <w:p w:rsidR="005E1BBA" w:rsidRPr="002C75B8" w:rsidRDefault="005E1BBA" w:rsidP="005E1BBA">
      <w:pPr>
        <w:ind w:left="0" w:firstLine="0"/>
        <w:rPr>
          <w:sz w:val="22"/>
          <w:lang w:val="en-US"/>
        </w:rPr>
      </w:pPr>
      <w:r w:rsidRPr="002C75B8">
        <w:rPr>
          <w:sz w:val="22"/>
          <w:lang w:val="en-US"/>
        </w:rPr>
        <w:t xml:space="preserve">Rural population: 72% </w:t>
      </w:r>
    </w:p>
    <w:p w:rsidR="005E1BBA" w:rsidRPr="002C75B8" w:rsidRDefault="005E1BBA" w:rsidP="005E1BBA">
      <w:pPr>
        <w:ind w:left="0" w:firstLine="0"/>
        <w:rPr>
          <w:sz w:val="22"/>
          <w:lang w:val="en-US"/>
        </w:rPr>
      </w:pPr>
      <w:r w:rsidRPr="002C75B8">
        <w:rPr>
          <w:sz w:val="22"/>
          <w:lang w:val="en-US"/>
        </w:rPr>
        <w:t>Population living under USD 1</w:t>
      </w:r>
      <w:r>
        <w:rPr>
          <w:sz w:val="22"/>
          <w:lang w:val="en-US"/>
        </w:rPr>
        <w:t>.</w:t>
      </w:r>
      <w:r w:rsidRPr="002C75B8">
        <w:rPr>
          <w:sz w:val="22"/>
          <w:lang w:val="en-US"/>
        </w:rPr>
        <w:t xml:space="preserve">25 a day: </w:t>
      </w:r>
      <w:r>
        <w:rPr>
          <w:sz w:val="22"/>
          <w:lang w:val="en-US"/>
        </w:rPr>
        <w:t>no data</w:t>
      </w:r>
    </w:p>
    <w:p w:rsidR="005E1BBA" w:rsidRPr="002C75B8" w:rsidRDefault="005E1BBA" w:rsidP="005E1BBA">
      <w:pPr>
        <w:ind w:left="0" w:firstLine="0"/>
        <w:rPr>
          <w:sz w:val="22"/>
          <w:lang w:val="en-US"/>
        </w:rPr>
      </w:pPr>
      <w:r w:rsidRPr="002C75B8">
        <w:rPr>
          <w:sz w:val="22"/>
          <w:lang w:val="en-US"/>
        </w:rPr>
        <w:t>Population living under the national poverty line: no data</w:t>
      </w:r>
    </w:p>
    <w:p w:rsidR="005E1BBA" w:rsidRPr="002C75B8" w:rsidRDefault="005E1BBA" w:rsidP="005E1BBA">
      <w:pPr>
        <w:ind w:left="0" w:firstLine="0"/>
        <w:rPr>
          <w:sz w:val="22"/>
          <w:lang w:val="en-US"/>
        </w:rPr>
      </w:pPr>
      <w:r w:rsidRPr="002C75B8">
        <w:rPr>
          <w:sz w:val="22"/>
          <w:lang w:val="en-US"/>
        </w:rPr>
        <w:t xml:space="preserve">Income status: Lower middle income economy </w:t>
      </w:r>
    </w:p>
    <w:p w:rsidR="005E1BBA" w:rsidRPr="002C75B8" w:rsidRDefault="005E1BBA" w:rsidP="005E1BBA">
      <w:pPr>
        <w:ind w:left="0" w:firstLine="0"/>
        <w:rPr>
          <w:sz w:val="22"/>
          <w:lang w:val="en-US"/>
        </w:rPr>
      </w:pPr>
      <w:r w:rsidRPr="002C75B8">
        <w:rPr>
          <w:sz w:val="22"/>
          <w:lang w:val="en-US"/>
        </w:rPr>
        <w:t>Ranking:</w:t>
      </w:r>
      <w:r w:rsidRPr="002C75B8">
        <w:rPr>
          <w:i/>
          <w:iCs/>
          <w:color w:val="003399"/>
          <w:sz w:val="22"/>
          <w:lang w:val="en-US" w:eastAsia="es-CO"/>
        </w:rPr>
        <w:t xml:space="preserve"> </w:t>
      </w:r>
      <w:r w:rsidRPr="002C75B8">
        <w:rPr>
          <w:bCs/>
          <w:sz w:val="22"/>
          <w:lang w:val="en-US"/>
        </w:rPr>
        <w:t xml:space="preserve">Medium </w:t>
      </w:r>
      <w:r>
        <w:rPr>
          <w:bCs/>
          <w:sz w:val="22"/>
          <w:lang w:val="en-US"/>
        </w:rPr>
        <w:t>h</w:t>
      </w:r>
      <w:r w:rsidRPr="002C75B8">
        <w:rPr>
          <w:bCs/>
          <w:sz w:val="22"/>
          <w:lang w:val="en-US"/>
        </w:rPr>
        <w:t xml:space="preserve">uman </w:t>
      </w:r>
      <w:r>
        <w:rPr>
          <w:bCs/>
          <w:sz w:val="22"/>
          <w:lang w:val="en-US"/>
        </w:rPr>
        <w:t>d</w:t>
      </w:r>
      <w:r w:rsidRPr="002C75B8">
        <w:rPr>
          <w:bCs/>
          <w:sz w:val="22"/>
          <w:lang w:val="en-US"/>
        </w:rPr>
        <w:t>evelopment (ranking 11</w:t>
      </w:r>
      <w:r>
        <w:rPr>
          <w:bCs/>
          <w:sz w:val="22"/>
          <w:lang w:val="en-US"/>
        </w:rPr>
        <w:t>7</w:t>
      </w:r>
      <w:r w:rsidRPr="002C75B8">
        <w:rPr>
          <w:bCs/>
          <w:sz w:val="22"/>
          <w:lang w:val="en-US"/>
        </w:rPr>
        <w:t>)</w:t>
      </w:r>
    </w:p>
    <w:p w:rsidR="005E1BBA" w:rsidRPr="002C75B8" w:rsidRDefault="005E1BBA" w:rsidP="005E1BBA">
      <w:pPr>
        <w:ind w:left="0" w:firstLine="0"/>
        <w:rPr>
          <w:sz w:val="22"/>
          <w:lang w:val="en-US"/>
        </w:rPr>
      </w:pPr>
      <w:r w:rsidRPr="002C75B8">
        <w:rPr>
          <w:sz w:val="22"/>
          <w:lang w:val="en-US"/>
        </w:rPr>
        <w:t xml:space="preserve">Per capita total expenditure on health at average exchange rate (US dollar): </w:t>
      </w:r>
      <w:r>
        <w:rPr>
          <w:sz w:val="22"/>
          <w:lang w:val="en-US"/>
        </w:rPr>
        <w:t>133</w:t>
      </w:r>
    </w:p>
    <w:p w:rsidR="005E1BBA" w:rsidRPr="002C75B8" w:rsidRDefault="005E1BBA" w:rsidP="005E1BBA">
      <w:pPr>
        <w:ind w:left="0" w:firstLine="0"/>
        <w:rPr>
          <w:sz w:val="22"/>
          <w:lang w:val="en-US"/>
        </w:rPr>
      </w:pPr>
      <w:r w:rsidRPr="002C75B8">
        <w:rPr>
          <w:sz w:val="22"/>
          <w:lang w:val="en-US"/>
        </w:rPr>
        <w:t>Life expectancy at birth (years): 6</w:t>
      </w:r>
      <w:r>
        <w:rPr>
          <w:sz w:val="22"/>
          <w:lang w:val="en-US"/>
        </w:rPr>
        <w:t>9</w:t>
      </w:r>
    </w:p>
    <w:p w:rsidR="005E1BBA" w:rsidRPr="002C75B8" w:rsidRDefault="005E1BBA" w:rsidP="005E1BBA">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55 </w:t>
      </w:r>
    </w:p>
    <w:p w:rsidR="005E1BBA" w:rsidRPr="002C75B8" w:rsidRDefault="005E1BBA" w:rsidP="005E1BBA">
      <w:pPr>
        <w:ind w:left="0" w:firstLine="0"/>
        <w:rPr>
          <w:sz w:val="22"/>
          <w:lang w:val="en-US"/>
        </w:rPr>
      </w:pPr>
    </w:p>
    <w:p w:rsidR="005E1BBA" w:rsidRPr="002C75B8" w:rsidRDefault="005E1BBA" w:rsidP="005E1BBA">
      <w:pPr>
        <w:ind w:left="0" w:firstLine="0"/>
        <w:rPr>
          <w:sz w:val="22"/>
          <w:lang w:val="en-US"/>
        </w:rPr>
      </w:pPr>
    </w:p>
    <w:p w:rsidR="005E1BBA" w:rsidRPr="002C75B8" w:rsidRDefault="005E1BBA" w:rsidP="005E1BBA">
      <w:pPr>
        <w:ind w:left="0" w:firstLine="0"/>
        <w:rPr>
          <w:b/>
          <w:sz w:val="22"/>
          <w:lang w:val="en-US"/>
        </w:rPr>
      </w:pPr>
      <w:r w:rsidRPr="002C75B8">
        <w:rPr>
          <w:b/>
          <w:sz w:val="22"/>
          <w:lang w:val="en-US"/>
        </w:rPr>
        <w:t>BACKGROUND INFORMATION</w:t>
      </w:r>
    </w:p>
    <w:p w:rsidR="005E1BBA" w:rsidRPr="002C75B8" w:rsidRDefault="005E1BBA" w:rsidP="005E1BBA">
      <w:pPr>
        <w:ind w:left="0" w:firstLine="0"/>
        <w:rPr>
          <w:b/>
          <w:sz w:val="22"/>
          <w:lang w:val="en-US"/>
        </w:rPr>
      </w:pPr>
    </w:p>
    <w:p w:rsidR="005E1BBA" w:rsidRPr="002C75B8" w:rsidRDefault="005E1BBA" w:rsidP="005E1BBA">
      <w:pPr>
        <w:kinsoku w:val="0"/>
        <w:adjustRightInd w:val="0"/>
        <w:ind w:left="0" w:firstLine="0"/>
        <w:rPr>
          <w:color w:val="000000"/>
          <w:sz w:val="22"/>
          <w:lang w:val="en-US"/>
        </w:rPr>
      </w:pPr>
      <w:r w:rsidRPr="002C75B8">
        <w:rPr>
          <w:sz w:val="22"/>
          <w:lang w:val="en-US"/>
        </w:rPr>
        <w:t xml:space="preserve">VL is unknown in </w:t>
      </w:r>
      <w:smartTag w:uri="urn:schemas-microsoft-com:office:smarttags" w:element="place">
        <w:smartTag w:uri="urn:schemas-microsoft-com:office:smarttags" w:element="country-region">
          <w:r w:rsidRPr="002C75B8">
            <w:rPr>
              <w:sz w:val="22"/>
              <w:lang w:val="en-US"/>
            </w:rPr>
            <w:t>Guyana</w:t>
          </w:r>
        </w:smartTag>
      </w:smartTag>
      <w:r w:rsidRPr="002C75B8">
        <w:rPr>
          <w:sz w:val="22"/>
          <w:lang w:val="en-US"/>
        </w:rPr>
        <w:t xml:space="preserve">. CL was first reported in 1912 and has traditionally been an occupational disease of forest workers from inland </w:t>
      </w:r>
      <w:smartTag w:uri="urn:schemas-microsoft-com:office:smarttags" w:element="place">
        <w:smartTag w:uri="urn:schemas-microsoft-com:office:smarttags" w:element="country-region">
          <w:r w:rsidRPr="002C75B8">
            <w:rPr>
              <w:sz w:val="22"/>
              <w:lang w:val="en-US"/>
            </w:rPr>
            <w:t>Guyana</w:t>
          </w:r>
        </w:smartTag>
      </w:smartTag>
      <w:r w:rsidRPr="002C75B8">
        <w:rPr>
          <w:sz w:val="22"/>
          <w:lang w:val="en-US"/>
        </w:rPr>
        <w:t xml:space="preserve">. The epidemiology has not been </w:t>
      </w:r>
      <w:r w:rsidRPr="002C75B8">
        <w:rPr>
          <w:color w:val="000000"/>
          <w:sz w:val="22"/>
          <w:lang w:val="en-US"/>
        </w:rPr>
        <w:t xml:space="preserve">studied. </w:t>
      </w:r>
    </w:p>
    <w:p w:rsidR="005E1BBA" w:rsidRPr="002C75B8" w:rsidRDefault="005E1BBA" w:rsidP="005E1BBA">
      <w:pPr>
        <w:kinsoku w:val="0"/>
        <w:adjustRightInd w:val="0"/>
        <w:ind w:left="0" w:firstLine="0"/>
        <w:rPr>
          <w:color w:val="000000"/>
          <w:sz w:val="22"/>
          <w:lang w:val="en-US"/>
        </w:rPr>
      </w:pPr>
    </w:p>
    <w:p w:rsidR="005E1BBA" w:rsidRPr="002C75B8" w:rsidRDefault="005E1BBA" w:rsidP="005E1BBA">
      <w:pPr>
        <w:kinsoku w:val="0"/>
        <w:adjustRightInd w:val="0"/>
        <w:ind w:left="0" w:firstLine="0"/>
        <w:rPr>
          <w:sz w:val="22"/>
          <w:lang w:val="en-US"/>
        </w:rPr>
      </w:pPr>
      <w:r w:rsidRPr="002C75B8">
        <w:rPr>
          <w:sz w:val="22"/>
          <w:lang w:val="en-US"/>
        </w:rPr>
        <w:t>A retrospective review of 185 patients</w:t>
      </w:r>
      <w:r>
        <w:rPr>
          <w:sz w:val="22"/>
          <w:lang w:val="en-US"/>
        </w:rPr>
        <w:t>,</w:t>
      </w:r>
      <w:r w:rsidRPr="002C75B8">
        <w:rPr>
          <w:sz w:val="22"/>
          <w:lang w:val="en-US"/>
        </w:rPr>
        <w:t xml:space="preserve"> presented at the dermatology clinic of </w:t>
      </w:r>
      <w:smartTag w:uri="urn:schemas-microsoft-com:office:smarttags" w:element="City">
        <w:smartTag w:uri="urn:schemas-microsoft-com:office:smarttags" w:element="place">
          <w:r w:rsidRPr="002C75B8">
            <w:rPr>
              <w:sz w:val="22"/>
              <w:lang w:val="en-US"/>
            </w:rPr>
            <w:t>Georgetown</w:t>
          </w:r>
        </w:smartTag>
      </w:smartTag>
      <w:r w:rsidRPr="002C75B8">
        <w:rPr>
          <w:sz w:val="22"/>
          <w:lang w:val="en-US"/>
        </w:rPr>
        <w:t xml:space="preserve"> between 1992 and 1998 with skin ulcers indicative of CL</w:t>
      </w:r>
      <w:r>
        <w:rPr>
          <w:sz w:val="22"/>
          <w:lang w:val="en-US"/>
        </w:rPr>
        <w:t>,</w:t>
      </w:r>
      <w:r w:rsidRPr="002C75B8">
        <w:rPr>
          <w:sz w:val="22"/>
          <w:lang w:val="en-US"/>
        </w:rPr>
        <w:t xml:space="preserve"> showed that 43% of the patients were infected with </w:t>
      </w:r>
      <w:r w:rsidRPr="002C75B8">
        <w:rPr>
          <w:i/>
          <w:iCs/>
          <w:sz w:val="22"/>
          <w:lang w:val="en-US"/>
        </w:rPr>
        <w:t xml:space="preserve">L. guyanensis. </w:t>
      </w:r>
      <w:r w:rsidRPr="002C75B8">
        <w:rPr>
          <w:iCs/>
          <w:sz w:val="22"/>
          <w:lang w:val="en-US"/>
        </w:rPr>
        <w:t>M</w:t>
      </w:r>
      <w:r w:rsidRPr="002C75B8">
        <w:rPr>
          <w:sz w:val="22"/>
          <w:lang w:val="en-US"/>
        </w:rPr>
        <w:t xml:space="preserve">ost of the cases had very likely been infected in the interior of </w:t>
      </w:r>
      <w:smartTag w:uri="urn:schemas-microsoft-com:office:smarttags" w:element="country-region">
        <w:smartTag w:uri="urn:schemas-microsoft-com:office:smarttags" w:element="place">
          <w:r w:rsidRPr="002C75B8">
            <w:rPr>
              <w:sz w:val="22"/>
              <w:lang w:val="en-US"/>
            </w:rPr>
            <w:t>Guyana</w:t>
          </w:r>
        </w:smartTag>
      </w:smartTag>
      <w:r w:rsidRPr="002C75B8">
        <w:rPr>
          <w:sz w:val="22"/>
          <w:lang w:val="en-US"/>
        </w:rPr>
        <w:t xml:space="preserve"> and were involved in outdoor work in </w:t>
      </w:r>
      <w:proofErr w:type="spellStart"/>
      <w:r w:rsidRPr="002C75B8">
        <w:rPr>
          <w:sz w:val="22"/>
          <w:lang w:val="en-US"/>
        </w:rPr>
        <w:t>sylvatic</w:t>
      </w:r>
      <w:proofErr w:type="spellEnd"/>
      <w:r w:rsidRPr="002C75B8">
        <w:rPr>
          <w:sz w:val="22"/>
          <w:lang w:val="en-US"/>
        </w:rPr>
        <w:t xml:space="preserve"> or jungle areas, </w:t>
      </w:r>
      <w:r>
        <w:rPr>
          <w:sz w:val="22"/>
          <w:lang w:val="en-US"/>
        </w:rPr>
        <w:t xml:space="preserve">such as the </w:t>
      </w:r>
      <w:r w:rsidRPr="002C75B8">
        <w:rPr>
          <w:sz w:val="22"/>
          <w:lang w:val="en-US"/>
        </w:rPr>
        <w:t xml:space="preserve">mining or lumber industry. 95% of the cases were male and most </w:t>
      </w:r>
      <w:r w:rsidRPr="002C75B8">
        <w:rPr>
          <w:color w:val="000000"/>
          <w:sz w:val="22"/>
          <w:lang w:val="en-US"/>
        </w:rPr>
        <w:t>were aged 20-39</w:t>
      </w:r>
      <w:r>
        <w:rPr>
          <w:color w:val="000000"/>
          <w:sz w:val="22"/>
          <w:lang w:val="en-US"/>
        </w:rPr>
        <w:t xml:space="preserve"> [1]</w:t>
      </w:r>
      <w:r w:rsidRPr="002C75B8">
        <w:rPr>
          <w:color w:val="000000"/>
          <w:sz w:val="22"/>
          <w:lang w:val="en-US"/>
        </w:rPr>
        <w:t>.</w:t>
      </w:r>
      <w:r w:rsidRPr="002C75B8">
        <w:rPr>
          <w:sz w:val="22"/>
          <w:lang w:val="en-US"/>
        </w:rPr>
        <w:t xml:space="preserve"> There is only one clinic in </w:t>
      </w:r>
      <w:smartTag w:uri="urn:schemas-microsoft-com:office:smarttags" w:element="place">
        <w:smartTag w:uri="urn:schemas-microsoft-com:office:smarttags" w:element="country-region">
          <w:r w:rsidRPr="002C75B8">
            <w:rPr>
              <w:sz w:val="22"/>
              <w:lang w:val="en-US"/>
            </w:rPr>
            <w:t>Guyana</w:t>
          </w:r>
        </w:smartTag>
      </w:smartTag>
      <w:r w:rsidRPr="002C75B8">
        <w:rPr>
          <w:sz w:val="22"/>
          <w:lang w:val="en-US"/>
        </w:rPr>
        <w:t xml:space="preserve"> where CL can be treated and the disease is expected to be severely underreported.  </w:t>
      </w:r>
    </w:p>
    <w:p w:rsidR="005E1BBA" w:rsidRPr="002C75B8" w:rsidRDefault="005E1BBA" w:rsidP="005E1BBA">
      <w:pPr>
        <w:ind w:left="0" w:firstLine="0"/>
        <w:rPr>
          <w:rFonts w:eastAsia="SimSun"/>
          <w:sz w:val="22"/>
          <w:lang w:val="en-US" w:eastAsia="zh-CN"/>
        </w:rPr>
      </w:pPr>
    </w:p>
    <w:p w:rsidR="005E1BBA" w:rsidRPr="002C75B8" w:rsidRDefault="005E1BBA" w:rsidP="005E1BBA">
      <w:pPr>
        <w:ind w:left="0" w:firstLine="0"/>
        <w:rPr>
          <w:rFonts w:eastAsia="SimSun"/>
          <w:sz w:val="22"/>
          <w:lang w:val="en-US" w:eastAsia="zh-CN"/>
        </w:rPr>
      </w:pPr>
      <w:r w:rsidRPr="002C75B8">
        <w:rPr>
          <w:rFonts w:eastAsia="SimSun"/>
          <w:sz w:val="22"/>
          <w:lang w:val="en-US" w:eastAsia="zh-CN"/>
        </w:rPr>
        <w:t>No cases of HIV</w:t>
      </w:r>
      <w:r w:rsidRPr="002C75B8">
        <w:rPr>
          <w:rFonts w:eastAsia="SimSun"/>
          <w:i/>
          <w:iCs/>
          <w:sz w:val="22"/>
          <w:lang w:val="en-US" w:eastAsia="zh-CN"/>
        </w:rPr>
        <w:t>/Leishmania</w:t>
      </w:r>
      <w:r w:rsidRPr="002C75B8">
        <w:rPr>
          <w:rFonts w:eastAsia="SimSun"/>
          <w:sz w:val="22"/>
          <w:lang w:val="en-US" w:eastAsia="zh-CN"/>
        </w:rPr>
        <w:t xml:space="preserve"> co</w:t>
      </w:r>
      <w:r>
        <w:rPr>
          <w:rFonts w:eastAsia="SimSun"/>
          <w:sz w:val="22"/>
          <w:lang w:val="en-US" w:eastAsia="zh-CN"/>
        </w:rPr>
        <w:t>-</w:t>
      </w:r>
      <w:r w:rsidRPr="002C75B8">
        <w:rPr>
          <w:rFonts w:eastAsia="SimSun"/>
          <w:sz w:val="22"/>
          <w:lang w:val="en-US" w:eastAsia="zh-CN"/>
        </w:rPr>
        <w:t xml:space="preserve">infection have been reported. </w:t>
      </w:r>
    </w:p>
    <w:p w:rsidR="005E1BBA" w:rsidRPr="002C75B8" w:rsidRDefault="005E1BBA" w:rsidP="005E1BBA">
      <w:pPr>
        <w:ind w:left="0" w:firstLine="0"/>
        <w:rPr>
          <w:sz w:val="22"/>
          <w:lang w:val="en-US"/>
        </w:rPr>
      </w:pPr>
    </w:p>
    <w:p w:rsidR="005E1BBA" w:rsidRDefault="005E1BBA" w:rsidP="005E1BBA">
      <w:pPr>
        <w:ind w:left="0" w:firstLine="0"/>
        <w:rPr>
          <w:sz w:val="22"/>
          <w:lang w:val="en-US"/>
        </w:rPr>
      </w:pPr>
    </w:p>
    <w:p w:rsidR="005E1BBA" w:rsidRDefault="005E1BBA" w:rsidP="005E1BBA">
      <w:pPr>
        <w:ind w:left="0" w:firstLine="0"/>
        <w:rPr>
          <w:sz w:val="22"/>
          <w:lang w:val="en-US"/>
        </w:rPr>
      </w:pPr>
    </w:p>
    <w:p w:rsidR="005E1BBA" w:rsidRDefault="005E1BBA" w:rsidP="005E1BBA">
      <w:pPr>
        <w:ind w:left="0" w:firstLine="0"/>
        <w:rPr>
          <w:sz w:val="22"/>
          <w:lang w:val="en-US"/>
        </w:rPr>
      </w:pPr>
    </w:p>
    <w:p w:rsidR="005E1BBA" w:rsidRDefault="005E1BBA" w:rsidP="005E1BBA">
      <w:pPr>
        <w:ind w:left="0" w:firstLine="0"/>
        <w:rPr>
          <w:sz w:val="22"/>
          <w:lang w:val="en-US"/>
        </w:rPr>
      </w:pPr>
    </w:p>
    <w:p w:rsidR="005E1BBA" w:rsidRPr="002C75B8" w:rsidRDefault="005E1BBA" w:rsidP="005E1BBA">
      <w:pPr>
        <w:ind w:left="0" w:firstLine="0"/>
        <w:rPr>
          <w:sz w:val="22"/>
          <w:lang w:val="en-US"/>
        </w:rPr>
      </w:pPr>
    </w:p>
    <w:p w:rsidR="005E1BBA" w:rsidRDefault="005E1BBA" w:rsidP="005E1BBA">
      <w:pPr>
        <w:ind w:left="0" w:firstLine="0"/>
        <w:rPr>
          <w:b/>
          <w:sz w:val="22"/>
          <w:lang w:val="en-GB"/>
        </w:rPr>
      </w:pPr>
      <w:r w:rsidRPr="002C75B8">
        <w:rPr>
          <w:b/>
          <w:sz w:val="22"/>
          <w:lang w:val="en-GB"/>
        </w:rPr>
        <w:lastRenderedPageBreak/>
        <w:t>PARASITOLOGICAL INFORMATION</w:t>
      </w:r>
    </w:p>
    <w:p w:rsidR="005E1BBA" w:rsidRPr="002C75B8" w:rsidRDefault="005E1BBA" w:rsidP="005E1BBA">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5E1BBA" w:rsidRPr="002C75B8" w:rsidTr="00A7768B">
        <w:tc>
          <w:tcPr>
            <w:tcW w:w="2394" w:type="dxa"/>
            <w:vAlign w:val="center"/>
          </w:tcPr>
          <w:p w:rsidR="005E1BBA" w:rsidRPr="002C75B8" w:rsidRDefault="005E1BBA" w:rsidP="00A7768B">
            <w:pPr>
              <w:ind w:left="0" w:firstLine="0"/>
              <w:jc w:val="center"/>
              <w:rPr>
                <w:sz w:val="22"/>
                <w:lang w:val="en-US"/>
              </w:rPr>
            </w:pPr>
            <w:r w:rsidRPr="002C75B8">
              <w:rPr>
                <w:b/>
                <w:bCs/>
                <w:i/>
                <w:iCs/>
                <w:sz w:val="22"/>
              </w:rPr>
              <w:t xml:space="preserve">Leishmania </w:t>
            </w:r>
            <w:proofErr w:type="spellStart"/>
            <w:r w:rsidRPr="002C75B8">
              <w:rPr>
                <w:b/>
                <w:bCs/>
                <w:sz w:val="22"/>
              </w:rPr>
              <w:t>species</w:t>
            </w:r>
            <w:proofErr w:type="spellEnd"/>
          </w:p>
        </w:tc>
        <w:tc>
          <w:tcPr>
            <w:tcW w:w="2394" w:type="dxa"/>
            <w:vAlign w:val="center"/>
          </w:tcPr>
          <w:p w:rsidR="005E1BBA" w:rsidRPr="002C75B8" w:rsidRDefault="005E1BBA" w:rsidP="00A7768B">
            <w:pPr>
              <w:ind w:left="0" w:firstLine="0"/>
              <w:jc w:val="center"/>
              <w:rPr>
                <w:b/>
                <w:bCs/>
                <w:sz w:val="22"/>
              </w:rPr>
            </w:pPr>
          </w:p>
          <w:p w:rsidR="005E1BBA" w:rsidRPr="002C75B8" w:rsidRDefault="005E1BBA"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94" w:type="dxa"/>
            <w:vAlign w:val="center"/>
          </w:tcPr>
          <w:p w:rsidR="005E1BBA" w:rsidRPr="002C75B8" w:rsidRDefault="005E1BBA" w:rsidP="00A7768B">
            <w:pPr>
              <w:ind w:left="0" w:firstLine="0"/>
              <w:jc w:val="center"/>
              <w:rPr>
                <w:b/>
                <w:bCs/>
                <w:sz w:val="22"/>
              </w:rPr>
            </w:pPr>
          </w:p>
          <w:p w:rsidR="005E1BBA" w:rsidRPr="002C75B8" w:rsidRDefault="005E1BBA"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394" w:type="dxa"/>
            <w:vAlign w:val="center"/>
          </w:tcPr>
          <w:p w:rsidR="005E1BBA" w:rsidRPr="002C75B8" w:rsidRDefault="005E1BBA" w:rsidP="00A7768B">
            <w:pPr>
              <w:ind w:left="0" w:firstLine="0"/>
              <w:jc w:val="center"/>
              <w:rPr>
                <w:b/>
                <w:bCs/>
                <w:sz w:val="22"/>
              </w:rPr>
            </w:pPr>
          </w:p>
          <w:p w:rsidR="005E1BBA" w:rsidRPr="002C75B8" w:rsidRDefault="005E1BBA" w:rsidP="00A7768B">
            <w:pPr>
              <w:ind w:left="0" w:firstLine="0"/>
              <w:jc w:val="center"/>
              <w:rPr>
                <w:sz w:val="22"/>
                <w:lang w:val="en-US"/>
              </w:rPr>
            </w:pPr>
            <w:proofErr w:type="spellStart"/>
            <w:r w:rsidRPr="002C75B8">
              <w:rPr>
                <w:b/>
                <w:bCs/>
                <w:sz w:val="22"/>
              </w:rPr>
              <w:t>Reservoirs</w:t>
            </w:r>
            <w:proofErr w:type="spellEnd"/>
          </w:p>
        </w:tc>
      </w:tr>
      <w:tr w:rsidR="005E1BBA" w:rsidRPr="002C75B8" w:rsidTr="00A7768B">
        <w:tc>
          <w:tcPr>
            <w:tcW w:w="2394" w:type="dxa"/>
            <w:vAlign w:val="center"/>
          </w:tcPr>
          <w:p w:rsidR="005E1BBA" w:rsidRPr="002C75B8" w:rsidRDefault="005E1BBA"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hAnsi="Arial" w:cs="Arial"/>
                <w:i/>
                <w:iCs/>
                <w:color w:val="000000"/>
                <w:kern w:val="24"/>
                <w:sz w:val="22"/>
                <w:szCs w:val="22"/>
              </w:rPr>
              <w:t xml:space="preserve">L. guyanensis </w:t>
            </w:r>
          </w:p>
        </w:tc>
        <w:tc>
          <w:tcPr>
            <w:tcW w:w="2394" w:type="dxa"/>
            <w:vAlign w:val="center"/>
          </w:tcPr>
          <w:p w:rsidR="005E1BBA" w:rsidRPr="002C75B8" w:rsidRDefault="005E1BBA"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color w:val="000000"/>
                <w:kern w:val="24"/>
                <w:sz w:val="22"/>
                <w:szCs w:val="22"/>
                <w:lang w:val="en-GB"/>
              </w:rPr>
              <w:t>ZCL</w:t>
            </w:r>
            <w:r w:rsidRPr="002C75B8">
              <w:rPr>
                <w:rFonts w:ascii="Arial" w:eastAsia="Cambria" w:hAnsi="Arial" w:cs="Arial"/>
                <w:color w:val="000000"/>
                <w:kern w:val="24"/>
                <w:sz w:val="22"/>
                <w:szCs w:val="22"/>
              </w:rPr>
              <w:t xml:space="preserve"> </w:t>
            </w:r>
          </w:p>
        </w:tc>
        <w:tc>
          <w:tcPr>
            <w:tcW w:w="2394" w:type="dxa"/>
            <w:vAlign w:val="center"/>
          </w:tcPr>
          <w:p w:rsidR="005E1BBA" w:rsidRDefault="005E1BBA" w:rsidP="00A7768B">
            <w:pPr>
              <w:pStyle w:val="NormalWeb"/>
              <w:spacing w:before="0" w:beforeAutospacing="0" w:after="0" w:afterAutospacing="0" w:line="313" w:lineRule="atLeast"/>
              <w:textAlignment w:val="baseline"/>
              <w:rPr>
                <w:rFonts w:ascii="Arial" w:eastAsia="Cambria" w:hAnsi="Arial" w:cs="Arial"/>
                <w:i/>
                <w:iCs/>
                <w:color w:val="000000"/>
                <w:kern w:val="24"/>
                <w:sz w:val="22"/>
                <w:szCs w:val="22"/>
              </w:rPr>
            </w:pPr>
            <w:r w:rsidRPr="002C75B8">
              <w:rPr>
                <w:rFonts w:ascii="Arial" w:eastAsia="Cambria" w:hAnsi="Arial" w:cs="Arial"/>
                <w:i/>
                <w:iCs/>
                <w:color w:val="000000"/>
                <w:kern w:val="24"/>
                <w:sz w:val="22"/>
                <w:szCs w:val="22"/>
              </w:rPr>
              <w:t xml:space="preserve">Lu. </w:t>
            </w:r>
            <w:proofErr w:type="spellStart"/>
            <w:r w:rsidRPr="002C75B8">
              <w:rPr>
                <w:rFonts w:ascii="Arial" w:eastAsia="Cambria" w:hAnsi="Arial" w:cs="Arial"/>
                <w:i/>
                <w:iCs/>
                <w:color w:val="000000"/>
                <w:kern w:val="24"/>
                <w:sz w:val="22"/>
                <w:szCs w:val="22"/>
              </w:rPr>
              <w:t>umbratilis</w:t>
            </w:r>
            <w:proofErr w:type="spellEnd"/>
            <w:r w:rsidRPr="002C75B8">
              <w:rPr>
                <w:rFonts w:ascii="Arial" w:eastAsia="Cambria" w:hAnsi="Arial" w:cs="Arial"/>
                <w:i/>
                <w:iCs/>
                <w:color w:val="000000"/>
                <w:kern w:val="24"/>
                <w:sz w:val="22"/>
                <w:szCs w:val="22"/>
              </w:rPr>
              <w:t xml:space="preserve">, </w:t>
            </w:r>
          </w:p>
          <w:p w:rsidR="005E1BBA" w:rsidRPr="002C75B8" w:rsidRDefault="005E1BBA"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i/>
                <w:iCs/>
                <w:color w:val="000000"/>
                <w:kern w:val="24"/>
                <w:sz w:val="22"/>
                <w:szCs w:val="22"/>
              </w:rPr>
              <w:t xml:space="preserve">Lu. </w:t>
            </w:r>
            <w:proofErr w:type="spellStart"/>
            <w:r w:rsidRPr="002C75B8">
              <w:rPr>
                <w:rFonts w:ascii="Arial" w:eastAsia="Cambria" w:hAnsi="Arial" w:cs="Arial"/>
                <w:i/>
                <w:iCs/>
                <w:color w:val="000000"/>
                <w:kern w:val="24"/>
                <w:sz w:val="22"/>
                <w:szCs w:val="22"/>
              </w:rPr>
              <w:t>anduzei</w:t>
            </w:r>
            <w:proofErr w:type="spellEnd"/>
          </w:p>
        </w:tc>
        <w:tc>
          <w:tcPr>
            <w:tcW w:w="2394" w:type="dxa"/>
            <w:vAlign w:val="center"/>
          </w:tcPr>
          <w:p w:rsidR="005E1BBA" w:rsidRPr="002C75B8" w:rsidRDefault="005E1BBA" w:rsidP="00A7768B">
            <w:pPr>
              <w:pStyle w:val="NormalWeb"/>
              <w:spacing w:before="0" w:beforeAutospacing="0" w:after="0" w:afterAutospacing="0" w:line="313" w:lineRule="atLeast"/>
              <w:textAlignment w:val="baseline"/>
              <w:rPr>
                <w:rFonts w:ascii="Arial" w:hAnsi="Arial" w:cs="Arial"/>
                <w:sz w:val="22"/>
                <w:szCs w:val="22"/>
              </w:rPr>
            </w:pPr>
            <w:r w:rsidRPr="002C75B8">
              <w:rPr>
                <w:rFonts w:ascii="Arial" w:eastAsia="Cambria" w:hAnsi="Arial" w:cs="Arial"/>
                <w:color w:val="000000"/>
                <w:kern w:val="24"/>
                <w:sz w:val="22"/>
                <w:szCs w:val="22"/>
              </w:rPr>
              <w:t>unknown</w:t>
            </w:r>
          </w:p>
        </w:tc>
      </w:tr>
    </w:tbl>
    <w:p w:rsidR="005E1BBA" w:rsidRDefault="005E1BBA" w:rsidP="005E1BBA">
      <w:pPr>
        <w:ind w:left="0" w:firstLine="0"/>
        <w:rPr>
          <w:sz w:val="22"/>
          <w:lang w:val="en-US"/>
        </w:rPr>
      </w:pPr>
    </w:p>
    <w:p w:rsidR="005E1BBA" w:rsidRPr="002C75B8" w:rsidRDefault="005E1BBA" w:rsidP="005E1BBA">
      <w:pPr>
        <w:ind w:left="0" w:firstLine="0"/>
        <w:rPr>
          <w:sz w:val="22"/>
          <w:lang w:val="en-US"/>
        </w:rPr>
      </w:pPr>
    </w:p>
    <w:p w:rsidR="005E1BBA" w:rsidRDefault="005E1BBA" w:rsidP="005E1BBA">
      <w:pPr>
        <w:ind w:left="0" w:firstLine="0"/>
        <w:rPr>
          <w:b/>
          <w:sz w:val="22"/>
          <w:lang w:val="en-US"/>
        </w:rPr>
      </w:pPr>
      <w:r w:rsidRPr="002C75B8">
        <w:rPr>
          <w:b/>
          <w:sz w:val="22"/>
          <w:lang w:val="en-US"/>
        </w:rPr>
        <w:t>MAPS AND TRENDS</w:t>
      </w:r>
    </w:p>
    <w:p w:rsidR="005E1BBA" w:rsidRDefault="005E1BBA" w:rsidP="005E1BBA">
      <w:pPr>
        <w:ind w:left="0" w:firstLine="0"/>
        <w:rPr>
          <w:b/>
          <w:sz w:val="22"/>
          <w:lang w:val="en-US"/>
        </w:rPr>
      </w:pPr>
    </w:p>
    <w:p w:rsidR="005E1BBA" w:rsidRPr="002C75B8" w:rsidRDefault="005E1BBA" w:rsidP="005E1BBA">
      <w:pPr>
        <w:ind w:left="0" w:firstLine="0"/>
        <w:rPr>
          <w:b/>
          <w:sz w:val="22"/>
          <w:lang w:val="en-US"/>
        </w:rPr>
      </w:pPr>
      <w:r>
        <w:rPr>
          <w:b/>
          <w:sz w:val="22"/>
          <w:lang w:val="en-US"/>
        </w:rPr>
        <w:t>Cutaneous leishmaniasis</w:t>
      </w:r>
    </w:p>
    <w:p w:rsidR="005E1BBA" w:rsidRPr="00C3718B" w:rsidRDefault="005E1BBA" w:rsidP="005E1BBA">
      <w:pPr>
        <w:ind w:left="0" w:firstLine="0"/>
        <w:rPr>
          <w:b/>
          <w:sz w:val="22"/>
          <w:lang w:val="en-US"/>
        </w:rPr>
      </w:pPr>
      <w:r>
        <w:rPr>
          <w:b/>
          <w:noProof/>
          <w:sz w:val="22"/>
          <w:lang w:val="en-US"/>
        </w:rPr>
        <w:drawing>
          <wp:inline distT="0" distB="0" distL="0" distR="0">
            <wp:extent cx="2865120" cy="4282440"/>
            <wp:effectExtent l="19050" t="0" r="0" b="0"/>
            <wp:docPr id="2" name="Picture 2" descr="GYCL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CLbis"/>
                    <pic:cNvPicPr>
                      <a:picLocks noChangeAspect="1" noChangeArrowheads="1"/>
                    </pic:cNvPicPr>
                  </pic:nvPicPr>
                  <pic:blipFill>
                    <a:blip r:embed="rId6" cstate="print"/>
                    <a:srcRect/>
                    <a:stretch>
                      <a:fillRect/>
                    </a:stretch>
                  </pic:blipFill>
                  <pic:spPr bwMode="auto">
                    <a:xfrm>
                      <a:off x="0" y="0"/>
                      <a:ext cx="2865120" cy="4282440"/>
                    </a:xfrm>
                    <a:prstGeom prst="rect">
                      <a:avLst/>
                    </a:prstGeom>
                    <a:noFill/>
                    <a:ln w="9525">
                      <a:noFill/>
                      <a:miter lim="800000"/>
                      <a:headEnd/>
                      <a:tailEnd/>
                    </a:ln>
                  </pic:spPr>
                </pic:pic>
              </a:graphicData>
            </a:graphic>
          </wp:inline>
        </w:drawing>
      </w:r>
    </w:p>
    <w:p w:rsidR="005E1BBA" w:rsidRDefault="005E1BBA" w:rsidP="005E1BBA">
      <w:pPr>
        <w:ind w:left="0" w:firstLine="0"/>
        <w:rPr>
          <w:b/>
          <w:sz w:val="22"/>
          <w:lang w:val="en-US"/>
        </w:rPr>
      </w:pPr>
    </w:p>
    <w:p w:rsidR="005E1BBA" w:rsidRDefault="005E1BBA" w:rsidP="005E1BBA">
      <w:pPr>
        <w:ind w:left="0" w:firstLine="0"/>
        <w:rPr>
          <w:b/>
          <w:sz w:val="22"/>
          <w:lang w:val="en-US"/>
        </w:rPr>
      </w:pPr>
    </w:p>
    <w:p w:rsidR="005E1BBA" w:rsidRPr="002C75B8" w:rsidRDefault="005E1BBA" w:rsidP="005E1BBA">
      <w:pPr>
        <w:ind w:left="0" w:firstLine="0"/>
        <w:rPr>
          <w:b/>
          <w:sz w:val="22"/>
          <w:lang w:val="en-US"/>
        </w:rPr>
      </w:pPr>
      <w:r w:rsidRPr="002C75B8">
        <w:rPr>
          <w:b/>
          <w:sz w:val="22"/>
          <w:lang w:val="en-US"/>
        </w:rPr>
        <w:t>Cutaneous leishmaniasis trend</w:t>
      </w:r>
    </w:p>
    <w:p w:rsidR="005E1BBA" w:rsidRDefault="005E1BBA" w:rsidP="005E1BBA">
      <w:pPr>
        <w:ind w:left="0" w:firstLine="0"/>
        <w:rPr>
          <w:b/>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06"/>
        <w:gridCol w:w="706"/>
      </w:tblGrid>
      <w:tr w:rsidR="005E1BBA" w:rsidRPr="005C6413" w:rsidTr="00A7768B">
        <w:tc>
          <w:tcPr>
            <w:tcW w:w="598" w:type="dxa"/>
          </w:tcPr>
          <w:p w:rsidR="005E1BBA" w:rsidRPr="00812E7D" w:rsidRDefault="005E1BBA" w:rsidP="00A7768B">
            <w:pPr>
              <w:ind w:left="0" w:firstLine="0"/>
              <w:jc w:val="left"/>
              <w:rPr>
                <w:rFonts w:eastAsia="Times New Roman"/>
                <w:b/>
                <w:bCs/>
                <w:sz w:val="22"/>
                <w:lang w:val="en-US"/>
              </w:rPr>
            </w:pPr>
            <w:r w:rsidRPr="00812E7D">
              <w:rPr>
                <w:rFonts w:eastAsia="Times New Roman"/>
                <w:b/>
                <w:bCs/>
                <w:sz w:val="22"/>
                <w:lang w:val="en-US"/>
              </w:rPr>
              <w:t>2006</w:t>
            </w:r>
          </w:p>
        </w:tc>
        <w:tc>
          <w:tcPr>
            <w:tcW w:w="706" w:type="dxa"/>
          </w:tcPr>
          <w:p w:rsidR="005E1BBA" w:rsidRPr="00812E7D" w:rsidRDefault="005E1BBA" w:rsidP="00A7768B">
            <w:pPr>
              <w:ind w:left="0" w:firstLine="0"/>
              <w:jc w:val="left"/>
              <w:rPr>
                <w:rFonts w:eastAsia="Times New Roman"/>
                <w:b/>
                <w:bCs/>
                <w:sz w:val="22"/>
                <w:lang w:val="en-US"/>
              </w:rPr>
            </w:pPr>
            <w:r w:rsidRPr="00812E7D">
              <w:rPr>
                <w:rFonts w:eastAsia="Times New Roman"/>
                <w:b/>
                <w:bCs/>
                <w:sz w:val="22"/>
                <w:lang w:val="en-US"/>
              </w:rPr>
              <w:t>2007</w:t>
            </w:r>
          </w:p>
        </w:tc>
        <w:tc>
          <w:tcPr>
            <w:tcW w:w="706" w:type="dxa"/>
          </w:tcPr>
          <w:p w:rsidR="005E1BBA" w:rsidRPr="00812E7D" w:rsidRDefault="005E1BBA" w:rsidP="00A7768B">
            <w:pPr>
              <w:ind w:left="0" w:firstLine="0"/>
              <w:jc w:val="left"/>
              <w:rPr>
                <w:rFonts w:eastAsia="Times New Roman"/>
                <w:b/>
                <w:bCs/>
                <w:sz w:val="22"/>
                <w:lang w:val="en-US"/>
              </w:rPr>
            </w:pPr>
            <w:r w:rsidRPr="00812E7D">
              <w:rPr>
                <w:rFonts w:eastAsia="Times New Roman"/>
                <w:b/>
                <w:bCs/>
                <w:sz w:val="22"/>
                <w:lang w:val="en-US"/>
              </w:rPr>
              <w:t>2008</w:t>
            </w:r>
          </w:p>
        </w:tc>
      </w:tr>
      <w:tr w:rsidR="005E1BBA" w:rsidRPr="005C6413" w:rsidTr="00A7768B">
        <w:tc>
          <w:tcPr>
            <w:tcW w:w="598" w:type="dxa"/>
          </w:tcPr>
          <w:p w:rsidR="005E1BBA" w:rsidRPr="005C6413" w:rsidRDefault="005E1BBA" w:rsidP="00A7768B">
            <w:pPr>
              <w:ind w:left="0" w:firstLine="0"/>
              <w:jc w:val="center"/>
              <w:rPr>
                <w:rFonts w:eastAsia="Times New Roman"/>
                <w:sz w:val="22"/>
                <w:lang w:val="en-US"/>
              </w:rPr>
            </w:pPr>
            <w:r>
              <w:rPr>
                <w:rFonts w:eastAsia="Times New Roman"/>
                <w:sz w:val="22"/>
                <w:lang w:val="en-US"/>
              </w:rPr>
              <w:t>17</w:t>
            </w:r>
          </w:p>
        </w:tc>
        <w:tc>
          <w:tcPr>
            <w:tcW w:w="706" w:type="dxa"/>
          </w:tcPr>
          <w:p w:rsidR="005E1BBA" w:rsidRPr="005C6413" w:rsidRDefault="005E1BBA" w:rsidP="00A7768B">
            <w:pPr>
              <w:ind w:left="0" w:firstLine="0"/>
              <w:jc w:val="center"/>
              <w:rPr>
                <w:rFonts w:eastAsia="Times New Roman"/>
                <w:sz w:val="22"/>
                <w:lang w:val="en-US"/>
              </w:rPr>
            </w:pPr>
            <w:r>
              <w:rPr>
                <w:rFonts w:eastAsia="Times New Roman"/>
                <w:sz w:val="22"/>
                <w:lang w:val="en-US"/>
              </w:rPr>
              <w:t>13</w:t>
            </w:r>
          </w:p>
        </w:tc>
        <w:tc>
          <w:tcPr>
            <w:tcW w:w="706" w:type="dxa"/>
          </w:tcPr>
          <w:p w:rsidR="005E1BBA" w:rsidRPr="005C6413" w:rsidRDefault="005E1BBA" w:rsidP="00A7768B">
            <w:pPr>
              <w:ind w:left="0" w:firstLine="0"/>
              <w:jc w:val="center"/>
              <w:rPr>
                <w:rFonts w:eastAsia="Times New Roman"/>
                <w:sz w:val="22"/>
                <w:lang w:val="en-US"/>
              </w:rPr>
            </w:pPr>
            <w:r>
              <w:rPr>
                <w:rFonts w:eastAsia="Times New Roman"/>
                <w:sz w:val="22"/>
                <w:lang w:val="en-US"/>
              </w:rPr>
              <w:t>19</w:t>
            </w:r>
          </w:p>
        </w:tc>
      </w:tr>
    </w:tbl>
    <w:p w:rsidR="005E1BBA" w:rsidRPr="002C75B8" w:rsidRDefault="005E1BBA" w:rsidP="005E1BBA">
      <w:pPr>
        <w:ind w:left="0" w:firstLine="0"/>
        <w:rPr>
          <w:b/>
          <w:sz w:val="22"/>
          <w:lang w:val="en-US"/>
        </w:rPr>
      </w:pPr>
    </w:p>
    <w:p w:rsidR="005E1BBA" w:rsidRPr="002C75B8" w:rsidRDefault="005E1BBA" w:rsidP="005E1BBA">
      <w:pPr>
        <w:ind w:left="0" w:firstLine="0"/>
        <w:rPr>
          <w:rFonts w:eastAsia="Times New Roman"/>
          <w:b/>
          <w:bCs/>
          <w:sz w:val="22"/>
          <w:lang w:val="en-US" w:eastAsia="es-ES"/>
        </w:rPr>
      </w:pPr>
    </w:p>
    <w:p w:rsidR="005E1BBA" w:rsidRDefault="005E1BBA" w:rsidP="005E1BBA">
      <w:pPr>
        <w:ind w:left="0" w:firstLine="0"/>
        <w:rPr>
          <w:rFonts w:eastAsia="Times New Roman"/>
          <w:b/>
          <w:bCs/>
          <w:sz w:val="22"/>
          <w:lang w:val="en-US" w:eastAsia="es-ES"/>
        </w:rPr>
      </w:pPr>
    </w:p>
    <w:p w:rsidR="005E1BBA" w:rsidRDefault="005E1BBA" w:rsidP="005E1BBA">
      <w:pPr>
        <w:ind w:left="0" w:firstLine="0"/>
        <w:rPr>
          <w:rFonts w:eastAsia="Times New Roman"/>
          <w:b/>
          <w:bCs/>
          <w:sz w:val="22"/>
          <w:lang w:val="en-US" w:eastAsia="es-ES"/>
        </w:rPr>
      </w:pPr>
    </w:p>
    <w:p w:rsidR="005E1BBA" w:rsidRDefault="005E1BBA" w:rsidP="005E1BBA">
      <w:pPr>
        <w:ind w:left="0" w:firstLine="0"/>
        <w:rPr>
          <w:rFonts w:eastAsia="Times New Roman"/>
          <w:b/>
          <w:bCs/>
          <w:sz w:val="22"/>
          <w:lang w:val="en-US" w:eastAsia="es-ES"/>
        </w:rPr>
      </w:pPr>
    </w:p>
    <w:p w:rsidR="005E1BBA" w:rsidRDefault="005E1BBA" w:rsidP="005E1BBA">
      <w:pPr>
        <w:ind w:left="0" w:firstLine="0"/>
        <w:rPr>
          <w:rFonts w:eastAsia="Times New Roman"/>
          <w:b/>
          <w:bCs/>
          <w:sz w:val="22"/>
          <w:lang w:val="en-US" w:eastAsia="es-ES"/>
        </w:rPr>
      </w:pPr>
    </w:p>
    <w:p w:rsidR="005E1BBA" w:rsidRDefault="005E1BBA" w:rsidP="005E1BBA">
      <w:pPr>
        <w:ind w:left="0" w:firstLine="0"/>
        <w:rPr>
          <w:rFonts w:eastAsia="Times New Roman"/>
          <w:b/>
          <w:bCs/>
          <w:sz w:val="22"/>
          <w:lang w:val="en-US" w:eastAsia="es-ES"/>
        </w:rPr>
      </w:pPr>
      <w:r w:rsidRPr="002C75B8">
        <w:rPr>
          <w:rFonts w:eastAsia="Times New Roman"/>
          <w:b/>
          <w:bCs/>
          <w:sz w:val="22"/>
          <w:lang w:val="en-US" w:eastAsia="es-ES"/>
        </w:rPr>
        <w:lastRenderedPageBreak/>
        <w:t>CONTROL</w:t>
      </w:r>
    </w:p>
    <w:p w:rsidR="005E1BBA" w:rsidRPr="002C75B8" w:rsidRDefault="005E1BBA" w:rsidP="005E1BBA">
      <w:pPr>
        <w:ind w:left="0" w:firstLine="0"/>
        <w:rPr>
          <w:rFonts w:eastAsia="Times New Roman"/>
          <w:b/>
          <w:bCs/>
          <w:sz w:val="22"/>
          <w:lang w:val="en-US" w:eastAsia="es-ES"/>
        </w:rPr>
      </w:pPr>
    </w:p>
    <w:p w:rsidR="005E1BBA" w:rsidRPr="002C75B8" w:rsidRDefault="005E1BBA" w:rsidP="005E1BBA">
      <w:pPr>
        <w:ind w:left="0" w:firstLine="0"/>
        <w:rPr>
          <w:sz w:val="22"/>
          <w:lang w:val="en-US"/>
        </w:rPr>
      </w:pPr>
      <w:r w:rsidRPr="002C75B8">
        <w:rPr>
          <w:sz w:val="22"/>
          <w:lang w:val="en-US"/>
        </w:rPr>
        <w:t xml:space="preserve">Notification of CL is mandatory (but in practice this is not done). There is no national leishmaniasis control program. There is no vector control program, but insecticide spraying is done in the context of malaria control. There is no reservoir control program. </w:t>
      </w:r>
    </w:p>
    <w:p w:rsidR="005E1BBA" w:rsidRDefault="005E1BBA" w:rsidP="005E1BBA">
      <w:pPr>
        <w:ind w:left="0" w:firstLine="0"/>
        <w:rPr>
          <w:b/>
          <w:sz w:val="22"/>
          <w:lang w:val="en-US"/>
        </w:rPr>
      </w:pPr>
    </w:p>
    <w:p w:rsidR="005E1BBA" w:rsidRPr="002C75B8" w:rsidRDefault="005E1BBA" w:rsidP="005E1BBA">
      <w:pPr>
        <w:ind w:left="0" w:firstLine="0"/>
        <w:rPr>
          <w:b/>
          <w:sz w:val="22"/>
          <w:lang w:val="en-US"/>
        </w:rPr>
      </w:pPr>
    </w:p>
    <w:p w:rsidR="005E1BBA" w:rsidRDefault="005E1BBA" w:rsidP="005E1BBA">
      <w:pPr>
        <w:ind w:left="0" w:firstLine="0"/>
        <w:rPr>
          <w:b/>
          <w:sz w:val="22"/>
          <w:lang w:val="en-US"/>
        </w:rPr>
      </w:pPr>
      <w:r w:rsidRPr="002C75B8">
        <w:rPr>
          <w:b/>
          <w:sz w:val="22"/>
          <w:lang w:val="en-US"/>
        </w:rPr>
        <w:t xml:space="preserve">DIAGNOSIS, TREATMENT </w:t>
      </w:r>
    </w:p>
    <w:p w:rsidR="005E1BBA" w:rsidRPr="002C75B8" w:rsidRDefault="005E1BBA" w:rsidP="005E1BBA">
      <w:pPr>
        <w:ind w:left="0" w:firstLine="0"/>
        <w:rPr>
          <w:b/>
          <w:sz w:val="22"/>
          <w:lang w:val="en-US"/>
        </w:rPr>
      </w:pPr>
    </w:p>
    <w:p w:rsidR="005E1BBA" w:rsidRPr="002C75B8" w:rsidRDefault="005E1BBA" w:rsidP="005E1BBA">
      <w:pPr>
        <w:ind w:left="0" w:firstLine="0"/>
        <w:rPr>
          <w:b/>
          <w:bCs/>
          <w:sz w:val="22"/>
          <w:lang w:val="en-US"/>
        </w:rPr>
      </w:pPr>
      <w:r w:rsidRPr="002C75B8">
        <w:rPr>
          <w:b/>
          <w:bCs/>
          <w:sz w:val="22"/>
          <w:lang w:val="en-US"/>
        </w:rPr>
        <w:t>Diagnosis</w:t>
      </w:r>
    </w:p>
    <w:p w:rsidR="005E1BBA" w:rsidRDefault="005E1BBA" w:rsidP="005E1BBA">
      <w:pPr>
        <w:ind w:left="0" w:firstLine="0"/>
        <w:rPr>
          <w:bCs/>
          <w:sz w:val="22"/>
          <w:lang w:val="en-US"/>
        </w:rPr>
      </w:pPr>
      <w:r w:rsidRPr="002C75B8">
        <w:rPr>
          <w:sz w:val="22"/>
          <w:lang w:val="en-US"/>
        </w:rPr>
        <w:t xml:space="preserve">CL: microscopic examination </w:t>
      </w:r>
      <w:r w:rsidRPr="002C75B8">
        <w:rPr>
          <w:bCs/>
          <w:sz w:val="22"/>
          <w:lang w:val="en-US"/>
        </w:rPr>
        <w:t>of skin lesion sample</w:t>
      </w:r>
      <w:r>
        <w:rPr>
          <w:bCs/>
          <w:sz w:val="22"/>
          <w:lang w:val="en-US"/>
        </w:rPr>
        <w:t>.</w:t>
      </w:r>
    </w:p>
    <w:p w:rsidR="005E1BBA" w:rsidRPr="002C75B8" w:rsidRDefault="005E1BBA" w:rsidP="005E1BBA">
      <w:pPr>
        <w:ind w:left="0" w:firstLine="0"/>
        <w:rPr>
          <w:sz w:val="22"/>
          <w:lang w:val="en-US"/>
        </w:rPr>
      </w:pPr>
    </w:p>
    <w:p w:rsidR="005E1BBA" w:rsidRPr="002C75B8" w:rsidRDefault="005E1BBA" w:rsidP="005E1BBA">
      <w:pPr>
        <w:ind w:left="0" w:firstLine="0"/>
        <w:rPr>
          <w:b/>
          <w:sz w:val="22"/>
          <w:lang w:val="en-US"/>
        </w:rPr>
      </w:pPr>
      <w:r w:rsidRPr="002C75B8">
        <w:rPr>
          <w:b/>
          <w:sz w:val="22"/>
          <w:lang w:val="en-US"/>
        </w:rPr>
        <w:t>Treatment</w:t>
      </w:r>
    </w:p>
    <w:p w:rsidR="005E1BBA" w:rsidRDefault="005E1BBA" w:rsidP="005E1BBA">
      <w:pPr>
        <w:ind w:left="0" w:firstLine="0"/>
        <w:rPr>
          <w:sz w:val="22"/>
          <w:lang w:val="en-US"/>
        </w:rPr>
      </w:pPr>
    </w:p>
    <w:p w:rsidR="005E1BBA" w:rsidRDefault="005E1BBA" w:rsidP="005E1BBA">
      <w:pPr>
        <w:ind w:left="0" w:firstLine="0"/>
        <w:rPr>
          <w:sz w:val="22"/>
          <w:lang w:val="en-US"/>
        </w:rPr>
      </w:pPr>
      <w:r w:rsidRPr="002C75B8">
        <w:rPr>
          <w:sz w:val="22"/>
          <w:lang w:val="en-US"/>
        </w:rPr>
        <w:t xml:space="preserve">CL: antimonials, 20 mg </w:t>
      </w:r>
      <w:proofErr w:type="spellStart"/>
      <w:r w:rsidRPr="002C75B8">
        <w:rPr>
          <w:sz w:val="22"/>
          <w:lang w:val="en-US"/>
        </w:rPr>
        <w:t>Sb</w:t>
      </w:r>
      <w:r w:rsidRPr="002C75B8">
        <w:rPr>
          <w:sz w:val="22"/>
          <w:vertAlign w:val="superscript"/>
          <w:lang w:val="en-US"/>
        </w:rPr>
        <w:t>v</w:t>
      </w:r>
      <w:proofErr w:type="spellEnd"/>
      <w:r w:rsidRPr="002C75B8">
        <w:rPr>
          <w:sz w:val="22"/>
          <w:lang w:val="en-US"/>
        </w:rPr>
        <w:t>/kg/day for 7-10 days. Sometimes</w:t>
      </w:r>
      <w:r>
        <w:rPr>
          <w:sz w:val="22"/>
          <w:lang w:val="en-US"/>
        </w:rPr>
        <w:t>,</w:t>
      </w:r>
      <w:r w:rsidRPr="002C75B8">
        <w:rPr>
          <w:sz w:val="22"/>
          <w:lang w:val="en-US"/>
        </w:rPr>
        <w:t xml:space="preserve"> </w:t>
      </w:r>
      <w:proofErr w:type="spellStart"/>
      <w:r w:rsidRPr="002C75B8">
        <w:rPr>
          <w:sz w:val="22"/>
          <w:lang w:val="en-US"/>
        </w:rPr>
        <w:t>pentamidine</w:t>
      </w:r>
      <w:proofErr w:type="spellEnd"/>
      <w:r w:rsidRPr="002C75B8">
        <w:rPr>
          <w:sz w:val="22"/>
          <w:lang w:val="en-US"/>
        </w:rPr>
        <w:t xml:space="preserve"> is used. Overall cure rate of 19 patients was 90%, with 16% recurring lesions, 5% mucosal involvement and 5% severe adverse events. </w:t>
      </w:r>
    </w:p>
    <w:p w:rsidR="005E1BBA" w:rsidRDefault="005E1BBA" w:rsidP="005E1BBA">
      <w:pPr>
        <w:ind w:left="0" w:firstLine="0"/>
        <w:rPr>
          <w:sz w:val="22"/>
          <w:lang w:val="en-US"/>
        </w:rPr>
      </w:pPr>
    </w:p>
    <w:p w:rsidR="005E1BBA" w:rsidRDefault="005E1BBA" w:rsidP="005E1BBA">
      <w:pPr>
        <w:ind w:left="0" w:firstLine="0"/>
        <w:rPr>
          <w:sz w:val="22"/>
          <w:lang w:val="en-US"/>
        </w:rPr>
      </w:pPr>
    </w:p>
    <w:p w:rsidR="005E1BBA" w:rsidRDefault="005E1BBA" w:rsidP="005E1BBA">
      <w:pPr>
        <w:ind w:left="0" w:firstLine="0"/>
        <w:rPr>
          <w:b/>
          <w:bCs/>
          <w:sz w:val="22"/>
          <w:lang w:val="en-US"/>
        </w:rPr>
      </w:pPr>
      <w:r w:rsidRPr="002C75B8">
        <w:rPr>
          <w:b/>
          <w:bCs/>
          <w:sz w:val="22"/>
          <w:lang w:val="en-US"/>
        </w:rPr>
        <w:t xml:space="preserve">ACCESS TO CARE </w:t>
      </w:r>
    </w:p>
    <w:p w:rsidR="005E1BBA" w:rsidRPr="002C75B8" w:rsidRDefault="005E1BBA" w:rsidP="005E1BBA">
      <w:pPr>
        <w:ind w:left="0" w:firstLine="0"/>
        <w:rPr>
          <w:b/>
          <w:bCs/>
          <w:sz w:val="22"/>
          <w:lang w:val="en-US"/>
        </w:rPr>
      </w:pPr>
    </w:p>
    <w:p w:rsidR="005E1BBA" w:rsidRPr="002C75B8" w:rsidRDefault="005E1BBA" w:rsidP="005E1BBA">
      <w:pPr>
        <w:autoSpaceDE w:val="0"/>
        <w:autoSpaceDN w:val="0"/>
        <w:adjustRightInd w:val="0"/>
        <w:ind w:left="0" w:firstLine="0"/>
        <w:rPr>
          <w:sz w:val="22"/>
          <w:lang w:val="en-US"/>
        </w:rPr>
      </w:pPr>
      <w:r w:rsidRPr="002C75B8">
        <w:rPr>
          <w:sz w:val="22"/>
          <w:lang w:val="en-US"/>
        </w:rPr>
        <w:t xml:space="preserve">Treatment for CL is given for free </w:t>
      </w:r>
      <w:r>
        <w:rPr>
          <w:sz w:val="22"/>
          <w:lang w:val="en-US"/>
        </w:rPr>
        <w:t>at</w:t>
      </w:r>
      <w:r w:rsidRPr="002C75B8">
        <w:rPr>
          <w:sz w:val="22"/>
          <w:lang w:val="en-US"/>
        </w:rPr>
        <w:t xml:space="preserve"> the skin clinic in </w:t>
      </w:r>
      <w:smartTag w:uri="urn:schemas-microsoft-com:office:smarttags" w:element="City">
        <w:smartTag w:uri="urn:schemas-microsoft-com:office:smarttags" w:element="place">
          <w:r w:rsidRPr="002C75B8">
            <w:rPr>
              <w:sz w:val="22"/>
              <w:lang w:val="en-US"/>
            </w:rPr>
            <w:t>Georgetown</w:t>
          </w:r>
        </w:smartTag>
      </w:smartTag>
      <w:r w:rsidRPr="002C75B8">
        <w:rPr>
          <w:sz w:val="22"/>
          <w:lang w:val="en-US"/>
        </w:rPr>
        <w:t xml:space="preserve">, but patients have to purchase their own drugs as the Ministry of Health </w:t>
      </w:r>
      <w:r>
        <w:rPr>
          <w:sz w:val="22"/>
          <w:lang w:val="en-US"/>
        </w:rPr>
        <w:t>has</w:t>
      </w:r>
      <w:r w:rsidRPr="002C75B8">
        <w:rPr>
          <w:sz w:val="22"/>
          <w:lang w:val="en-US"/>
        </w:rPr>
        <w:t xml:space="preserve"> not provide</w:t>
      </w:r>
      <w:r>
        <w:rPr>
          <w:sz w:val="22"/>
          <w:lang w:val="en-US"/>
        </w:rPr>
        <w:t>d</w:t>
      </w:r>
      <w:r w:rsidRPr="002C75B8">
        <w:rPr>
          <w:sz w:val="22"/>
          <w:lang w:val="en-US"/>
        </w:rPr>
        <w:t xml:space="preserve"> drugs for leishmaniasis for over 3 years. O</w:t>
      </w:r>
      <w:r>
        <w:rPr>
          <w:sz w:val="22"/>
          <w:lang w:val="en-US"/>
        </w:rPr>
        <w:t>ut o</w:t>
      </w:r>
      <w:r w:rsidRPr="002C75B8">
        <w:rPr>
          <w:sz w:val="22"/>
          <w:lang w:val="en-US"/>
        </w:rPr>
        <w:t>f 49 patients reported in 2006-2009, only 19 received treatment. Diagnosis can only be performed in a few specialized cente</w:t>
      </w:r>
      <w:r>
        <w:rPr>
          <w:sz w:val="22"/>
          <w:lang w:val="en-US"/>
        </w:rPr>
        <w:t>r</w:t>
      </w:r>
      <w:r w:rsidRPr="002C75B8">
        <w:rPr>
          <w:sz w:val="22"/>
          <w:lang w:val="en-US"/>
        </w:rPr>
        <w:t xml:space="preserve">s. Around 10% of patients seek diagnosis in the private sector before being referred to the public sector. Also, some NGOs and mission hospitals see cases of suspected CL and refer those to the public sector (3 cases in the last 3 years). Most cases occur in the swampy inlands of </w:t>
      </w:r>
      <w:smartTag w:uri="urn:schemas-microsoft-com:office:smarttags" w:element="place">
        <w:smartTag w:uri="urn:schemas-microsoft-com:office:smarttags" w:element="country-region">
          <w:r w:rsidRPr="002C75B8">
            <w:rPr>
              <w:sz w:val="22"/>
              <w:lang w:val="en-US"/>
            </w:rPr>
            <w:t>Guyana</w:t>
          </w:r>
        </w:smartTag>
      </w:smartTag>
      <w:r w:rsidRPr="002C75B8">
        <w:rPr>
          <w:sz w:val="22"/>
          <w:lang w:val="en-US"/>
        </w:rPr>
        <w:t xml:space="preserve">. Patients often seek traditional care because of the </w:t>
      </w:r>
      <w:r>
        <w:rPr>
          <w:sz w:val="22"/>
          <w:lang w:val="en-US"/>
        </w:rPr>
        <w:t xml:space="preserve">great </w:t>
      </w:r>
      <w:r w:rsidRPr="002C75B8">
        <w:rPr>
          <w:sz w:val="22"/>
          <w:lang w:val="en-US"/>
        </w:rPr>
        <w:t xml:space="preserve">distance to the treatment center in </w:t>
      </w:r>
      <w:smartTag w:uri="urn:schemas-microsoft-com:office:smarttags" w:element="City">
        <w:smartTag w:uri="urn:schemas-microsoft-com:office:smarttags" w:element="place">
          <w:r w:rsidRPr="002C75B8">
            <w:rPr>
              <w:sz w:val="22"/>
              <w:lang w:val="en-US"/>
            </w:rPr>
            <w:t>Georgetown</w:t>
          </w:r>
        </w:smartTag>
      </w:smartTag>
      <w:r w:rsidRPr="002C75B8">
        <w:rPr>
          <w:sz w:val="22"/>
          <w:lang w:val="en-US"/>
        </w:rPr>
        <w:t xml:space="preserve"> and the high costs of drugs. In a review </w:t>
      </w:r>
      <w:r>
        <w:rPr>
          <w:sz w:val="22"/>
          <w:lang w:val="en-US"/>
        </w:rPr>
        <w:t>about</w:t>
      </w:r>
      <w:r w:rsidRPr="002C75B8">
        <w:rPr>
          <w:sz w:val="22"/>
          <w:lang w:val="en-US"/>
        </w:rPr>
        <w:t xml:space="preserve"> 185 patients </w:t>
      </w:r>
      <w:r>
        <w:rPr>
          <w:sz w:val="22"/>
          <w:lang w:val="en-US"/>
        </w:rPr>
        <w:t xml:space="preserve">held </w:t>
      </w:r>
      <w:r w:rsidRPr="002C75B8">
        <w:rPr>
          <w:sz w:val="22"/>
          <w:lang w:val="en-US"/>
        </w:rPr>
        <w:t xml:space="preserve">in the </w:t>
      </w:r>
      <w:r>
        <w:rPr>
          <w:sz w:val="22"/>
          <w:lang w:val="en-US"/>
        </w:rPr>
        <w:t>19</w:t>
      </w:r>
      <w:r w:rsidRPr="002C75B8">
        <w:rPr>
          <w:sz w:val="22"/>
          <w:lang w:val="en-US"/>
        </w:rPr>
        <w:t>90s, 46% of cases presented 1-5 weeks after the onset of lesions and 3% after 6 months, having used local herbal remedies (37%)</w:t>
      </w:r>
      <w:r>
        <w:rPr>
          <w:sz w:val="22"/>
          <w:lang w:val="en-US"/>
        </w:rPr>
        <w:t>;</w:t>
      </w:r>
      <w:r w:rsidRPr="002C75B8">
        <w:rPr>
          <w:sz w:val="22"/>
          <w:lang w:val="en-US"/>
        </w:rPr>
        <w:t xml:space="preserve"> antibiotics and </w:t>
      </w:r>
      <w:proofErr w:type="spellStart"/>
      <w:r w:rsidRPr="002C75B8">
        <w:rPr>
          <w:sz w:val="22"/>
          <w:lang w:val="en-US"/>
        </w:rPr>
        <w:t>antifungals</w:t>
      </w:r>
      <w:proofErr w:type="spellEnd"/>
      <w:r>
        <w:rPr>
          <w:sz w:val="22"/>
          <w:lang w:val="en-US"/>
        </w:rPr>
        <w:t xml:space="preserve"> </w:t>
      </w:r>
      <w:r w:rsidRPr="002C75B8">
        <w:rPr>
          <w:sz w:val="22"/>
          <w:lang w:val="en-US"/>
        </w:rPr>
        <w:t>(39%)</w:t>
      </w:r>
      <w:r>
        <w:rPr>
          <w:sz w:val="22"/>
          <w:lang w:val="en-US"/>
        </w:rPr>
        <w:t>;</w:t>
      </w:r>
      <w:r w:rsidRPr="002C75B8">
        <w:rPr>
          <w:sz w:val="22"/>
          <w:lang w:val="en-US"/>
        </w:rPr>
        <w:t xml:space="preserve"> and abrasive chemicals</w:t>
      </w:r>
      <w:r>
        <w:rPr>
          <w:sz w:val="22"/>
          <w:lang w:val="en-US"/>
        </w:rPr>
        <w:t>,</w:t>
      </w:r>
      <w:r w:rsidRPr="002C75B8">
        <w:rPr>
          <w:sz w:val="22"/>
          <w:lang w:val="en-US"/>
        </w:rPr>
        <w:t xml:space="preserve"> such as lead salts and battery acid </w:t>
      </w:r>
      <w:r>
        <w:rPr>
          <w:sz w:val="22"/>
          <w:lang w:val="en-US"/>
        </w:rPr>
        <w:t>[1]</w:t>
      </w:r>
      <w:r w:rsidRPr="002C75B8">
        <w:rPr>
          <w:sz w:val="22"/>
          <w:lang w:val="en-US"/>
        </w:rPr>
        <w:t xml:space="preserve">. Many patients seek care across the border in </w:t>
      </w:r>
      <w:smartTag w:uri="urn:schemas-microsoft-com:office:smarttags" w:element="place">
        <w:smartTag w:uri="urn:schemas-microsoft-com:office:smarttags" w:element="country-region">
          <w:r w:rsidRPr="002C75B8">
            <w:rPr>
              <w:sz w:val="22"/>
              <w:lang w:val="en-US"/>
            </w:rPr>
            <w:t>Brazil</w:t>
          </w:r>
        </w:smartTag>
      </w:smartTag>
      <w:r w:rsidRPr="002C75B8">
        <w:rPr>
          <w:sz w:val="22"/>
          <w:lang w:val="en-US"/>
        </w:rPr>
        <w:t xml:space="preserve">. </w:t>
      </w:r>
    </w:p>
    <w:p w:rsidR="005E1BBA" w:rsidRDefault="005E1BBA" w:rsidP="005E1BBA">
      <w:pPr>
        <w:ind w:left="0" w:firstLine="0"/>
        <w:rPr>
          <w:b/>
          <w:sz w:val="22"/>
          <w:lang w:val="en-US"/>
        </w:rPr>
      </w:pPr>
    </w:p>
    <w:p w:rsidR="005E1BBA" w:rsidRPr="002C75B8" w:rsidRDefault="005E1BBA" w:rsidP="005E1BBA">
      <w:pPr>
        <w:ind w:left="0" w:firstLine="0"/>
        <w:rPr>
          <w:b/>
          <w:sz w:val="22"/>
          <w:lang w:val="en-US"/>
        </w:rPr>
      </w:pPr>
    </w:p>
    <w:p w:rsidR="005E1BBA" w:rsidRDefault="005E1BBA" w:rsidP="005E1BBA">
      <w:pPr>
        <w:ind w:left="0" w:firstLine="0"/>
        <w:rPr>
          <w:sz w:val="22"/>
          <w:lang w:val="en-US"/>
        </w:rPr>
      </w:pPr>
      <w:r w:rsidRPr="002C75B8">
        <w:rPr>
          <w:b/>
          <w:sz w:val="22"/>
          <w:lang w:val="en-US"/>
        </w:rPr>
        <w:t>ACCESS TO DRUGS</w:t>
      </w:r>
      <w:r w:rsidRPr="002C75B8">
        <w:rPr>
          <w:sz w:val="22"/>
          <w:lang w:val="en-US"/>
        </w:rPr>
        <w:t xml:space="preserve"> </w:t>
      </w:r>
    </w:p>
    <w:p w:rsidR="005E1BBA" w:rsidRPr="002C75B8" w:rsidRDefault="005E1BBA" w:rsidP="005E1BBA">
      <w:pPr>
        <w:ind w:left="0" w:firstLine="0"/>
        <w:rPr>
          <w:sz w:val="22"/>
          <w:lang w:val="en-US"/>
        </w:rPr>
      </w:pPr>
    </w:p>
    <w:p w:rsidR="005E1BBA" w:rsidRPr="002C75B8" w:rsidRDefault="005E1BBA" w:rsidP="005E1BBA">
      <w:pPr>
        <w:ind w:left="0" w:firstLine="0"/>
        <w:rPr>
          <w:sz w:val="22"/>
          <w:lang w:val="en-US"/>
        </w:rPr>
      </w:pPr>
      <w:r w:rsidRPr="002C75B8">
        <w:rPr>
          <w:sz w:val="22"/>
          <w:lang w:val="en-US"/>
        </w:rPr>
        <w:t xml:space="preserve">Amphotericin B, meglumine antimoniate and </w:t>
      </w:r>
      <w:proofErr w:type="spellStart"/>
      <w:r w:rsidRPr="002C75B8">
        <w:rPr>
          <w:sz w:val="22"/>
          <w:lang w:val="en-US"/>
        </w:rPr>
        <w:t>pentamidine</w:t>
      </w:r>
      <w:proofErr w:type="spellEnd"/>
      <w:r w:rsidRPr="002C75B8">
        <w:rPr>
          <w:sz w:val="22"/>
          <w:lang w:val="en-US"/>
        </w:rPr>
        <w:t xml:space="preserve"> are included in the National Essential Drug list for leishmaniasis. Meglumine a</w:t>
      </w:r>
      <w:r>
        <w:rPr>
          <w:sz w:val="22"/>
          <w:lang w:val="en-US"/>
        </w:rPr>
        <w:t xml:space="preserve">ntimoniate (Glucantime, </w:t>
      </w:r>
      <w:proofErr w:type="spellStart"/>
      <w:r>
        <w:rPr>
          <w:sz w:val="22"/>
          <w:lang w:val="en-US"/>
        </w:rPr>
        <w:t>Sanofi</w:t>
      </w:r>
      <w:proofErr w:type="spellEnd"/>
      <w:r w:rsidRPr="002C75B8">
        <w:rPr>
          <w:sz w:val="22"/>
          <w:lang w:val="en-US"/>
        </w:rPr>
        <w:t xml:space="preserve">) and </w:t>
      </w:r>
      <w:proofErr w:type="spellStart"/>
      <w:r w:rsidRPr="002C75B8">
        <w:rPr>
          <w:sz w:val="22"/>
          <w:lang w:val="en-US"/>
        </w:rPr>
        <w:t>pentamidine</w:t>
      </w:r>
      <w:proofErr w:type="spellEnd"/>
      <w:r w:rsidRPr="002C75B8">
        <w:rPr>
          <w:sz w:val="22"/>
          <w:lang w:val="en-US"/>
        </w:rPr>
        <w:t xml:space="preserve"> are available in private pharmacies, but </w:t>
      </w:r>
      <w:r>
        <w:rPr>
          <w:sz w:val="22"/>
          <w:lang w:val="en-US"/>
        </w:rPr>
        <w:t xml:space="preserve">are </w:t>
      </w:r>
      <w:r w:rsidRPr="002C75B8">
        <w:rPr>
          <w:sz w:val="22"/>
          <w:lang w:val="en-US"/>
        </w:rPr>
        <w:t xml:space="preserve">very expensive. Glucantime costs 30-40 USD per vial, leading to a treatment cost of 330-440 USD for an average intralesional treatment. </w:t>
      </w:r>
      <w:proofErr w:type="spellStart"/>
      <w:r w:rsidRPr="002C75B8">
        <w:rPr>
          <w:sz w:val="22"/>
          <w:lang w:val="en-US"/>
        </w:rPr>
        <w:t>Pentamidine</w:t>
      </w:r>
      <w:proofErr w:type="spellEnd"/>
      <w:r w:rsidRPr="002C75B8">
        <w:rPr>
          <w:sz w:val="22"/>
          <w:lang w:val="en-US"/>
        </w:rPr>
        <w:t xml:space="preserve"> costs 101 USD per vial.  </w:t>
      </w:r>
    </w:p>
    <w:p w:rsidR="005E1BBA" w:rsidRDefault="005E1BBA" w:rsidP="005E1BBA">
      <w:pPr>
        <w:ind w:left="0" w:firstLine="0"/>
        <w:rPr>
          <w:b/>
          <w:sz w:val="22"/>
          <w:lang w:val="en-US"/>
        </w:rPr>
      </w:pPr>
    </w:p>
    <w:p w:rsidR="005E1BBA" w:rsidRDefault="005E1BBA" w:rsidP="005E1BBA">
      <w:pPr>
        <w:ind w:left="0" w:firstLine="0"/>
        <w:rPr>
          <w:b/>
          <w:sz w:val="22"/>
          <w:lang w:val="en-US"/>
        </w:rPr>
      </w:pPr>
    </w:p>
    <w:p w:rsidR="005E1BBA" w:rsidRPr="002C75B8" w:rsidRDefault="005E1BBA" w:rsidP="005E1BBA">
      <w:pPr>
        <w:ind w:left="0" w:firstLine="0"/>
        <w:rPr>
          <w:b/>
          <w:sz w:val="22"/>
          <w:u w:val="single"/>
          <w:lang w:val="en-US"/>
        </w:rPr>
      </w:pPr>
      <w:r w:rsidRPr="002C75B8">
        <w:rPr>
          <w:b/>
          <w:sz w:val="22"/>
          <w:lang w:val="en-US"/>
        </w:rPr>
        <w:t>SOURCES OF INFORMATION</w:t>
      </w:r>
    </w:p>
    <w:p w:rsidR="005E1BBA" w:rsidRDefault="005E1BBA" w:rsidP="005E1BBA">
      <w:pPr>
        <w:ind w:left="0" w:firstLine="0"/>
        <w:rPr>
          <w:sz w:val="22"/>
          <w:lang w:val="en-US"/>
        </w:rPr>
      </w:pPr>
    </w:p>
    <w:p w:rsidR="005E1BBA" w:rsidRPr="002C75B8" w:rsidRDefault="005E1BBA" w:rsidP="005E1BBA">
      <w:pPr>
        <w:numPr>
          <w:ilvl w:val="0"/>
          <w:numId w:val="5"/>
        </w:numPr>
        <w:rPr>
          <w:sz w:val="22"/>
          <w:lang w:val="en-US"/>
        </w:rPr>
      </w:pPr>
      <w:r w:rsidRPr="002C75B8">
        <w:rPr>
          <w:sz w:val="22"/>
          <w:lang w:val="en-US"/>
        </w:rPr>
        <w:t>Dr Holly Alexander</w:t>
      </w:r>
      <w:r>
        <w:rPr>
          <w:sz w:val="22"/>
          <w:lang w:val="en-US"/>
        </w:rPr>
        <w:t xml:space="preserve">. </w:t>
      </w:r>
      <w:r w:rsidRPr="002C75B8">
        <w:rPr>
          <w:sz w:val="22"/>
          <w:lang w:val="en-US"/>
        </w:rPr>
        <w:t>Public Health Clinic</w:t>
      </w:r>
      <w:r>
        <w:rPr>
          <w:sz w:val="22"/>
          <w:lang w:val="en-US"/>
        </w:rPr>
        <w:t>,</w:t>
      </w:r>
      <w:r w:rsidRPr="002C75B8">
        <w:rPr>
          <w:sz w:val="22"/>
          <w:lang w:val="en-US"/>
        </w:rPr>
        <w:t xml:space="preserve"> Ministry of Health</w:t>
      </w:r>
      <w:r>
        <w:rPr>
          <w:sz w:val="22"/>
          <w:lang w:val="en-US"/>
        </w:rPr>
        <w:t>.</w:t>
      </w:r>
      <w:r w:rsidRPr="002C75B8">
        <w:rPr>
          <w:sz w:val="22"/>
          <w:lang w:val="en-US"/>
        </w:rPr>
        <w:t xml:space="preserve"> </w:t>
      </w:r>
    </w:p>
    <w:p w:rsidR="005E1BBA" w:rsidRDefault="005E1BBA" w:rsidP="005E1BBA">
      <w:pPr>
        <w:ind w:left="0" w:firstLine="0"/>
        <w:rPr>
          <w:sz w:val="22"/>
          <w:lang w:val="en-US"/>
        </w:rPr>
      </w:pPr>
    </w:p>
    <w:p w:rsidR="005E1BBA" w:rsidRDefault="005E1BBA" w:rsidP="005E1BBA">
      <w:pPr>
        <w:ind w:left="0" w:firstLine="0"/>
        <w:rPr>
          <w:sz w:val="22"/>
          <w:lang w:val="en-US"/>
        </w:rPr>
      </w:pPr>
    </w:p>
    <w:p w:rsidR="002F7C1A" w:rsidRDefault="005E1BBA" w:rsidP="005E1BBA">
      <w:pPr>
        <w:ind w:left="0" w:firstLine="0"/>
      </w:pPr>
      <w:r>
        <w:rPr>
          <w:sz w:val="22"/>
          <w:lang w:val="en-US"/>
        </w:rPr>
        <w:t xml:space="preserve">1. </w:t>
      </w:r>
      <w:r w:rsidRPr="002C75B8">
        <w:rPr>
          <w:sz w:val="22"/>
          <w:lang w:val="en-US"/>
        </w:rPr>
        <w:t xml:space="preserve">Rawlins SC, </w:t>
      </w:r>
      <w:proofErr w:type="spellStart"/>
      <w:r w:rsidRPr="002C75B8">
        <w:rPr>
          <w:sz w:val="22"/>
          <w:lang w:val="en-US"/>
        </w:rPr>
        <w:t>Tiwari</w:t>
      </w:r>
      <w:proofErr w:type="spellEnd"/>
      <w:r w:rsidRPr="002C75B8">
        <w:rPr>
          <w:sz w:val="22"/>
          <w:lang w:val="en-US"/>
        </w:rPr>
        <w:t xml:space="preserve"> T, </w:t>
      </w:r>
      <w:proofErr w:type="spellStart"/>
      <w:r w:rsidRPr="002C75B8">
        <w:rPr>
          <w:sz w:val="22"/>
          <w:lang w:val="en-US"/>
        </w:rPr>
        <w:t>Chadees</w:t>
      </w:r>
      <w:proofErr w:type="spellEnd"/>
      <w:r w:rsidRPr="002C75B8">
        <w:rPr>
          <w:sz w:val="22"/>
          <w:lang w:val="en-US"/>
        </w:rPr>
        <w:t xml:space="preserve"> DD, </w:t>
      </w:r>
      <w:proofErr w:type="spellStart"/>
      <w:r w:rsidRPr="002C75B8">
        <w:rPr>
          <w:sz w:val="22"/>
          <w:lang w:val="en-US"/>
        </w:rPr>
        <w:t>Validum</w:t>
      </w:r>
      <w:proofErr w:type="spellEnd"/>
      <w:r w:rsidRPr="002C75B8">
        <w:rPr>
          <w:sz w:val="22"/>
          <w:lang w:val="en-US"/>
        </w:rPr>
        <w:t xml:space="preserve"> L, Alexander H</w:t>
      </w:r>
      <w:r>
        <w:rPr>
          <w:sz w:val="22"/>
          <w:lang w:val="en-US"/>
        </w:rPr>
        <w:t xml:space="preserve"> et al (2001)</w:t>
      </w:r>
      <w:r w:rsidRPr="002C75B8">
        <w:rPr>
          <w:sz w:val="22"/>
          <w:lang w:val="en-US"/>
        </w:rPr>
        <w:t xml:space="preserve">. </w:t>
      </w:r>
      <w:proofErr w:type="gramStart"/>
      <w:r w:rsidRPr="002C75B8">
        <w:rPr>
          <w:sz w:val="22"/>
          <w:lang w:val="en-US"/>
        </w:rPr>
        <w:t>American cutaneous leishmaniasis in Guyana, South America.</w:t>
      </w:r>
      <w:proofErr w:type="gramEnd"/>
      <w:r w:rsidRPr="002C75B8">
        <w:rPr>
          <w:sz w:val="22"/>
          <w:lang w:val="en-US"/>
        </w:rPr>
        <w:t xml:space="preserve"> Ann</w:t>
      </w:r>
      <w:r>
        <w:rPr>
          <w:sz w:val="22"/>
          <w:lang w:val="en-US"/>
        </w:rPr>
        <w:t xml:space="preserve"> </w:t>
      </w:r>
      <w:proofErr w:type="spellStart"/>
      <w:r w:rsidRPr="002C75B8">
        <w:rPr>
          <w:sz w:val="22"/>
          <w:lang w:val="en-US"/>
        </w:rPr>
        <w:t>Trop</w:t>
      </w:r>
      <w:proofErr w:type="spellEnd"/>
      <w:r w:rsidRPr="002C75B8">
        <w:rPr>
          <w:sz w:val="22"/>
          <w:lang w:val="en-US"/>
        </w:rPr>
        <w:t xml:space="preserve"> Med Par 95</w:t>
      </w:r>
      <w:r>
        <w:rPr>
          <w:sz w:val="22"/>
          <w:lang w:val="en-US"/>
        </w:rPr>
        <w:t xml:space="preserve"> (3): </w:t>
      </w:r>
      <w:r w:rsidRPr="00EF6EC8">
        <w:rPr>
          <w:sz w:val="22"/>
          <w:lang w:val="en-US"/>
        </w:rPr>
        <w:t>245-</w:t>
      </w:r>
      <w:r>
        <w:rPr>
          <w:sz w:val="22"/>
          <w:lang w:val="en-US"/>
        </w:rPr>
        <w:t xml:space="preserve">51. </w:t>
      </w:r>
    </w:p>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AEA1738"/>
    <w:multiLevelType w:val="hybridMultilevel"/>
    <w:tmpl w:val="783C2E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1BBA"/>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E1BBA"/>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BA"/>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5E1BBA"/>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5E1BBA"/>
    <w:rPr>
      <w:rFonts w:ascii="Tahoma" w:hAnsi="Tahoma" w:cs="Tahoma"/>
      <w:sz w:val="16"/>
      <w:szCs w:val="16"/>
    </w:rPr>
  </w:style>
  <w:style w:type="character" w:customStyle="1" w:styleId="BalloonTextChar">
    <w:name w:val="Balloon Text Char"/>
    <w:basedOn w:val="DefaultParagraphFont"/>
    <w:link w:val="BalloonText"/>
    <w:uiPriority w:val="99"/>
    <w:semiHidden/>
    <w:rsid w:val="005E1BBA"/>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2012-04-01T21:11:00Z</dcterms:created>
  <dcterms:modified xsi:type="dcterms:W3CDTF">2012-04-01T21:12:00Z</dcterms:modified>
</cp:coreProperties>
</file>