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C18" w:rsidRPr="002C3A96" w:rsidRDefault="00B31C18" w:rsidP="00B31C18">
      <w:pPr>
        <w:spacing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Table S1.  </w:t>
      </w:r>
      <w:proofErr w:type="gramStart"/>
      <w:r>
        <w:rPr>
          <w:rFonts w:ascii="Times New Roman" w:hAnsi="Times New Roman"/>
          <w:color w:val="000000"/>
        </w:rPr>
        <w:t>Association between Eph receptor expression and metastasis-free survival in human breast cancer.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2952"/>
        <w:gridCol w:w="2952"/>
        <w:gridCol w:w="2952"/>
      </w:tblGrid>
      <w:tr w:rsidR="00B31C18" w:rsidRPr="00474B26">
        <w:tc>
          <w:tcPr>
            <w:tcW w:w="2952" w:type="dxa"/>
          </w:tcPr>
          <w:p w:rsidR="00B31C18" w:rsidRDefault="00B31C18">
            <w:pPr>
              <w:jc w:val="center"/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  <w:t xml:space="preserve">Eph Receptor </w:t>
            </w:r>
          </w:p>
        </w:tc>
        <w:tc>
          <w:tcPr>
            <w:tcW w:w="2952" w:type="dxa"/>
          </w:tcPr>
          <w:p w:rsidR="00B31C18" w:rsidRDefault="00B31C18">
            <w:pPr>
              <w:jc w:val="center"/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  <w:t xml:space="preserve">RR Metastasis-Free Survival (95% CI) </w:t>
            </w:r>
          </w:p>
        </w:tc>
        <w:tc>
          <w:tcPr>
            <w:tcW w:w="2952" w:type="dxa"/>
          </w:tcPr>
          <w:p w:rsidR="00B31C18" w:rsidRDefault="00B31C18">
            <w:pPr>
              <w:jc w:val="center"/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  <w:t xml:space="preserve">P-Value </w:t>
            </w:r>
          </w:p>
        </w:tc>
      </w:tr>
      <w:tr w:rsidR="00B31C18" w:rsidRPr="00474B26">
        <w:tc>
          <w:tcPr>
            <w:tcW w:w="2952" w:type="dxa"/>
          </w:tcPr>
          <w:p w:rsidR="00B31C18" w:rsidRDefault="00B31C18">
            <w:pPr>
              <w:jc w:val="center"/>
              <w:rPr>
                <w:rFonts w:ascii="Calibri" w:hAnsi="Calibri"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color w:val="000000"/>
                <w:sz w:val="36"/>
                <w:szCs w:val="36"/>
              </w:rPr>
              <w:t xml:space="preserve">EphA2 </w:t>
            </w:r>
          </w:p>
        </w:tc>
        <w:tc>
          <w:tcPr>
            <w:tcW w:w="2952" w:type="dxa"/>
          </w:tcPr>
          <w:p w:rsidR="00B31C18" w:rsidRDefault="00B31C18">
            <w:pPr>
              <w:jc w:val="center"/>
              <w:rPr>
                <w:rFonts w:ascii="Calibri" w:hAnsi="Calibri"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color w:val="000000"/>
                <w:sz w:val="36"/>
                <w:szCs w:val="36"/>
              </w:rPr>
              <w:t xml:space="preserve">5.60 (1.41-22.3) </w:t>
            </w:r>
          </w:p>
        </w:tc>
        <w:tc>
          <w:tcPr>
            <w:tcW w:w="2952" w:type="dxa"/>
          </w:tcPr>
          <w:p w:rsidR="00B31C18" w:rsidRDefault="00B31C18">
            <w:pPr>
              <w:jc w:val="center"/>
              <w:rPr>
                <w:rFonts w:ascii="Calibri" w:hAnsi="Calibri"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color w:val="000000"/>
                <w:sz w:val="36"/>
                <w:szCs w:val="36"/>
              </w:rPr>
              <w:t xml:space="preserve">0.0146* </w:t>
            </w:r>
          </w:p>
        </w:tc>
      </w:tr>
      <w:tr w:rsidR="00B31C18" w:rsidRPr="00474B26">
        <w:tc>
          <w:tcPr>
            <w:tcW w:w="2952" w:type="dxa"/>
          </w:tcPr>
          <w:p w:rsidR="00B31C18" w:rsidRDefault="00B31C18">
            <w:pPr>
              <w:jc w:val="center"/>
              <w:rPr>
                <w:rFonts w:ascii="Calibri" w:hAnsi="Calibri"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color w:val="000000"/>
                <w:sz w:val="36"/>
                <w:szCs w:val="36"/>
              </w:rPr>
              <w:t>EphA4</w:t>
            </w:r>
          </w:p>
        </w:tc>
        <w:tc>
          <w:tcPr>
            <w:tcW w:w="2952" w:type="dxa"/>
          </w:tcPr>
          <w:p w:rsidR="00B31C18" w:rsidRDefault="00B31C18">
            <w:pPr>
              <w:jc w:val="center"/>
              <w:rPr>
                <w:rFonts w:ascii="Calibri" w:hAnsi="Calibri"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color w:val="000000"/>
                <w:sz w:val="36"/>
                <w:szCs w:val="36"/>
              </w:rPr>
              <w:t xml:space="preserve">2.42 (0.59-9.93) </w:t>
            </w:r>
          </w:p>
        </w:tc>
        <w:tc>
          <w:tcPr>
            <w:tcW w:w="2952" w:type="dxa"/>
          </w:tcPr>
          <w:p w:rsidR="00B31C18" w:rsidRDefault="00B31C18">
            <w:pPr>
              <w:jc w:val="center"/>
              <w:rPr>
                <w:rFonts w:ascii="Calibri" w:hAnsi="Calibri"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color w:val="000000"/>
                <w:sz w:val="36"/>
                <w:szCs w:val="36"/>
              </w:rPr>
              <w:t>0.2198</w:t>
            </w:r>
          </w:p>
        </w:tc>
      </w:tr>
      <w:tr w:rsidR="00B31C18" w:rsidRPr="00474B26">
        <w:tc>
          <w:tcPr>
            <w:tcW w:w="2952" w:type="dxa"/>
          </w:tcPr>
          <w:p w:rsidR="00B31C18" w:rsidRDefault="00B31C18">
            <w:pPr>
              <w:jc w:val="center"/>
              <w:rPr>
                <w:rFonts w:ascii="Calibri" w:hAnsi="Calibri"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color w:val="000000"/>
                <w:sz w:val="36"/>
                <w:szCs w:val="36"/>
              </w:rPr>
              <w:t xml:space="preserve">EphA7 </w:t>
            </w:r>
          </w:p>
        </w:tc>
        <w:tc>
          <w:tcPr>
            <w:tcW w:w="2952" w:type="dxa"/>
          </w:tcPr>
          <w:p w:rsidR="00B31C18" w:rsidRDefault="00B31C18">
            <w:pPr>
              <w:jc w:val="center"/>
              <w:rPr>
                <w:rFonts w:ascii="Calibri" w:hAnsi="Calibri"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color w:val="000000"/>
                <w:sz w:val="36"/>
                <w:szCs w:val="36"/>
              </w:rPr>
              <w:t xml:space="preserve">1.01 (0.33-2.98) </w:t>
            </w:r>
          </w:p>
        </w:tc>
        <w:tc>
          <w:tcPr>
            <w:tcW w:w="2952" w:type="dxa"/>
          </w:tcPr>
          <w:p w:rsidR="00B31C18" w:rsidRDefault="00B31C18">
            <w:pPr>
              <w:jc w:val="center"/>
              <w:rPr>
                <w:rFonts w:ascii="Calibri" w:hAnsi="Calibri"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color w:val="000000"/>
                <w:sz w:val="36"/>
                <w:szCs w:val="36"/>
              </w:rPr>
              <w:t>0.9817</w:t>
            </w:r>
          </w:p>
        </w:tc>
      </w:tr>
      <w:tr w:rsidR="00B31C18" w:rsidRPr="00474B26">
        <w:tc>
          <w:tcPr>
            <w:tcW w:w="2952" w:type="dxa"/>
          </w:tcPr>
          <w:p w:rsidR="00B31C18" w:rsidRDefault="00B31C18">
            <w:pPr>
              <w:jc w:val="center"/>
              <w:rPr>
                <w:rFonts w:ascii="Calibri" w:hAnsi="Calibri"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color w:val="000000"/>
                <w:sz w:val="36"/>
                <w:szCs w:val="36"/>
              </w:rPr>
              <w:t> </w:t>
            </w:r>
          </w:p>
        </w:tc>
        <w:tc>
          <w:tcPr>
            <w:tcW w:w="2952" w:type="dxa"/>
          </w:tcPr>
          <w:p w:rsidR="00B31C18" w:rsidRDefault="00B31C18">
            <w:pPr>
              <w:rPr>
                <w:rFonts w:ascii="Calibri" w:hAnsi="Calibri"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color w:val="000000"/>
                <w:sz w:val="36"/>
                <w:szCs w:val="36"/>
              </w:rPr>
              <w:t> </w:t>
            </w:r>
          </w:p>
        </w:tc>
        <w:tc>
          <w:tcPr>
            <w:tcW w:w="2952" w:type="dxa"/>
          </w:tcPr>
          <w:p w:rsidR="00B31C18" w:rsidRDefault="00B31C18">
            <w:pPr>
              <w:rPr>
                <w:rFonts w:ascii="Calibri" w:hAnsi="Calibri"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color w:val="000000"/>
                <w:sz w:val="36"/>
                <w:szCs w:val="36"/>
              </w:rPr>
              <w:t> </w:t>
            </w:r>
          </w:p>
        </w:tc>
      </w:tr>
      <w:tr w:rsidR="00B31C18" w:rsidRPr="00474B26">
        <w:tc>
          <w:tcPr>
            <w:tcW w:w="2952" w:type="dxa"/>
          </w:tcPr>
          <w:p w:rsidR="00B31C18" w:rsidRDefault="00B31C18">
            <w:pPr>
              <w:jc w:val="center"/>
              <w:rPr>
                <w:rFonts w:ascii="Calibri" w:hAnsi="Calibri"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color w:val="000000"/>
                <w:sz w:val="36"/>
                <w:szCs w:val="36"/>
              </w:rPr>
              <w:t xml:space="preserve">EphB4 </w:t>
            </w:r>
          </w:p>
        </w:tc>
        <w:tc>
          <w:tcPr>
            <w:tcW w:w="2952" w:type="dxa"/>
          </w:tcPr>
          <w:p w:rsidR="00B31C18" w:rsidRDefault="00B31C18">
            <w:pPr>
              <w:jc w:val="center"/>
              <w:rPr>
                <w:rFonts w:ascii="Calibri" w:hAnsi="Calibri"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color w:val="000000"/>
                <w:sz w:val="36"/>
                <w:szCs w:val="36"/>
              </w:rPr>
              <w:t xml:space="preserve">3.06 (0.21-45.4) </w:t>
            </w:r>
          </w:p>
        </w:tc>
        <w:tc>
          <w:tcPr>
            <w:tcW w:w="2952" w:type="dxa"/>
          </w:tcPr>
          <w:p w:rsidR="00B31C18" w:rsidRDefault="00B31C18">
            <w:pPr>
              <w:jc w:val="center"/>
              <w:rPr>
                <w:rFonts w:ascii="Calibri" w:hAnsi="Calibri"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color w:val="000000"/>
                <w:sz w:val="36"/>
                <w:szCs w:val="36"/>
              </w:rPr>
              <w:t>0.4159</w:t>
            </w:r>
          </w:p>
        </w:tc>
      </w:tr>
    </w:tbl>
    <w:p w:rsidR="00B31C18" w:rsidRDefault="00B31C18" w:rsidP="00B31C18">
      <w:pPr>
        <w:spacing w:line="360" w:lineRule="auto"/>
        <w:rPr>
          <w:rFonts w:ascii="Times New Roman" w:hAnsi="Times New Roman"/>
          <w:color w:val="000000"/>
        </w:rPr>
      </w:pPr>
    </w:p>
    <w:p w:rsidR="00B31C18" w:rsidRPr="002C3A96" w:rsidRDefault="00B31C18" w:rsidP="00B31C18">
      <w:pPr>
        <w:spacing w:line="360" w:lineRule="auto"/>
        <w:rPr>
          <w:rFonts w:ascii="Times New Roman" w:hAnsi="Times New Roman"/>
          <w:color w:val="000000"/>
        </w:rPr>
      </w:pPr>
      <w:r w:rsidRPr="008A07AE">
        <w:rPr>
          <w:rFonts w:ascii="Times New Roman" w:hAnsi="Times New Roman"/>
          <w:color w:val="000000"/>
        </w:rPr>
        <w:t>Cox Model Analysis:  Relative risk (RR) associated with elevated Eph receptor molecule expression and metastasis-free survival in the Veer dataset.  *Statistically significant association.</w:t>
      </w:r>
    </w:p>
    <w:p w:rsidR="00D97017" w:rsidRDefault="00B31C18"/>
    <w:sectPr w:rsidR="00D97017" w:rsidSect="00460D36">
      <w:footerReference w:type="even" r:id="rId4"/>
      <w:footerReference w:type="default" r:id="rId5"/>
      <w:pgSz w:w="12240" w:h="15840"/>
      <w:pgMar w:top="1440" w:right="1800" w:bottom="1440" w:left="1800" w:gutter="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D36" w:rsidRDefault="00B31C18" w:rsidP="00460D3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60D36" w:rsidRDefault="00B31C18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D36" w:rsidRDefault="00B31C18" w:rsidP="00460D3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22</w:t>
    </w:r>
    <w:r>
      <w:rPr>
        <w:rStyle w:val="PageNumber"/>
      </w:rPr>
      <w:fldChar w:fldCharType="end"/>
    </w:r>
  </w:p>
  <w:p w:rsidR="00460D36" w:rsidRDefault="00B31C18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B31C18"/>
    <w:rsid w:val="00B31C18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C18"/>
    <w:rPr>
      <w:rFonts w:ascii="Times" w:eastAsia="Cambria" w:hAnsi="Times" w:cs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er">
    <w:name w:val="footer"/>
    <w:basedOn w:val="Normal"/>
    <w:link w:val="FooterChar"/>
    <w:rsid w:val="00B31C18"/>
    <w:pPr>
      <w:tabs>
        <w:tab w:val="center" w:pos="4320"/>
        <w:tab w:val="right" w:pos="8640"/>
      </w:tabs>
    </w:pPr>
    <w:rPr>
      <w:rFonts w:eastAsia="Times"/>
      <w:szCs w:val="20"/>
    </w:rPr>
  </w:style>
  <w:style w:type="character" w:customStyle="1" w:styleId="FooterChar">
    <w:name w:val="Footer Char"/>
    <w:basedOn w:val="DefaultParagraphFont"/>
    <w:link w:val="Footer"/>
    <w:rsid w:val="00B31C18"/>
    <w:rPr>
      <w:rFonts w:ascii="Times" w:eastAsia="Times" w:hAnsi="Times" w:cs="Times New Roman"/>
      <w:sz w:val="24"/>
    </w:rPr>
  </w:style>
  <w:style w:type="character" w:styleId="PageNumber">
    <w:name w:val="page number"/>
    <w:basedOn w:val="DefaultParagraphFont"/>
    <w:rsid w:val="00B31C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Brantley-Sieders</dc:creator>
  <cp:keywords/>
  <cp:lastModifiedBy>Dana Brantley-Sieders</cp:lastModifiedBy>
  <cp:revision>1</cp:revision>
  <dcterms:created xsi:type="dcterms:W3CDTF">2011-08-15T17:31:00Z</dcterms:created>
  <dcterms:modified xsi:type="dcterms:W3CDTF">2011-08-15T17:31:00Z</dcterms:modified>
</cp:coreProperties>
</file>