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7E" w:rsidRDefault="008A1C7E" w:rsidP="007D590A">
      <w:pPr>
        <w:suppressLineNumbers/>
        <w:spacing w:line="480" w:lineRule="auto"/>
        <w:ind w:right="115"/>
        <w:rPr>
          <w:sz w:val="24"/>
          <w:szCs w:val="24"/>
          <w:lang w:val="en-CA"/>
        </w:rPr>
      </w:pPr>
      <w:r>
        <w:rPr>
          <w:b/>
          <w:sz w:val="24"/>
          <w:szCs w:val="24"/>
          <w:lang w:val="en-CA"/>
        </w:rPr>
        <w:t xml:space="preserve">S1 </w:t>
      </w:r>
      <w:r w:rsidRPr="001362C6">
        <w:rPr>
          <w:b/>
          <w:sz w:val="24"/>
          <w:szCs w:val="24"/>
          <w:lang w:val="en-CA"/>
        </w:rPr>
        <w:t xml:space="preserve">Table. Summary of the fishery </w:t>
      </w:r>
      <w:r w:rsidR="00930B8C">
        <w:rPr>
          <w:b/>
          <w:sz w:val="24"/>
          <w:szCs w:val="24"/>
          <w:lang w:val="en-CA"/>
        </w:rPr>
        <w:t xml:space="preserve">monitoring </w:t>
      </w:r>
      <w:r w:rsidR="0096750C">
        <w:rPr>
          <w:b/>
          <w:sz w:val="24"/>
          <w:szCs w:val="24"/>
          <w:lang w:val="en-CA"/>
        </w:rPr>
        <w:t>data</w:t>
      </w:r>
      <w:r w:rsidRPr="001362C6">
        <w:rPr>
          <w:b/>
          <w:sz w:val="24"/>
          <w:szCs w:val="24"/>
          <w:lang w:val="en-CA"/>
        </w:rPr>
        <w:t xml:space="preserve"> gathered </w:t>
      </w:r>
      <w:r w:rsidR="00930B8C">
        <w:rPr>
          <w:b/>
          <w:sz w:val="24"/>
          <w:szCs w:val="24"/>
          <w:lang w:val="en-CA"/>
        </w:rPr>
        <w:t xml:space="preserve">for </w:t>
      </w:r>
      <w:r w:rsidRPr="001362C6">
        <w:rPr>
          <w:b/>
          <w:sz w:val="24"/>
          <w:szCs w:val="24"/>
          <w:lang w:val="en-CA"/>
        </w:rPr>
        <w:t xml:space="preserve">the </w:t>
      </w:r>
      <w:r w:rsidR="00930B8C">
        <w:rPr>
          <w:b/>
          <w:sz w:val="24"/>
          <w:szCs w:val="24"/>
          <w:lang w:val="en-CA"/>
        </w:rPr>
        <w:t xml:space="preserve">spiny </w:t>
      </w:r>
      <w:r w:rsidRPr="001362C6">
        <w:rPr>
          <w:b/>
          <w:sz w:val="24"/>
          <w:szCs w:val="24"/>
          <w:lang w:val="en-CA"/>
        </w:rPr>
        <w:t xml:space="preserve">lobster fishery at the </w:t>
      </w:r>
      <w:r w:rsidR="00930B8C">
        <w:rPr>
          <w:b/>
          <w:sz w:val="24"/>
          <w:szCs w:val="24"/>
          <w:lang w:val="en-CA"/>
        </w:rPr>
        <w:t xml:space="preserve">three </w:t>
      </w:r>
      <w:r w:rsidRPr="001362C6">
        <w:rPr>
          <w:b/>
          <w:sz w:val="24"/>
          <w:szCs w:val="24"/>
          <w:lang w:val="en-CA"/>
        </w:rPr>
        <w:t xml:space="preserve">main ports of the Galapagos </w:t>
      </w:r>
      <w:r w:rsidR="00930B8C">
        <w:rPr>
          <w:b/>
          <w:sz w:val="24"/>
          <w:szCs w:val="24"/>
          <w:lang w:val="en-CA"/>
        </w:rPr>
        <w:t>Marine Reserve from 1997 to 2011</w:t>
      </w:r>
      <w:r w:rsidRPr="001362C6">
        <w:rPr>
          <w:b/>
          <w:sz w:val="24"/>
          <w:szCs w:val="24"/>
          <w:lang w:val="en-CA"/>
        </w:rPr>
        <w:t xml:space="preserve">. </w:t>
      </w:r>
      <w:r w:rsidR="003F28D7" w:rsidRPr="003F28D7">
        <w:rPr>
          <w:sz w:val="24"/>
          <w:szCs w:val="24"/>
          <w:lang w:val="en-CA"/>
        </w:rPr>
        <w:t>Total fishing effort was calculated by dividing the annual total catch (in tail kg) by the annual average catch per unit effort (CPUE), with the latter expressed in tail kg diver</w:t>
      </w:r>
      <w:r w:rsidR="003F28D7" w:rsidRPr="003F28D7">
        <w:rPr>
          <w:sz w:val="24"/>
          <w:szCs w:val="24"/>
          <w:vertAlign w:val="superscript"/>
          <w:lang w:val="en-CA"/>
        </w:rPr>
        <w:t>-1</w:t>
      </w:r>
      <w:r w:rsidR="003F28D7" w:rsidRPr="003F28D7">
        <w:rPr>
          <w:sz w:val="24"/>
          <w:szCs w:val="24"/>
          <w:lang w:val="en-CA"/>
        </w:rPr>
        <w:t xml:space="preserve"> hour </w:t>
      </w:r>
      <w:r w:rsidR="003F28D7" w:rsidRPr="003F28D7">
        <w:rPr>
          <w:sz w:val="24"/>
          <w:szCs w:val="24"/>
          <w:vertAlign w:val="superscript"/>
          <w:lang w:val="en-CA"/>
        </w:rPr>
        <w:t>-1</w:t>
      </w:r>
      <w:r w:rsidR="003F28D7" w:rsidRPr="003F28D7">
        <w:rPr>
          <w:sz w:val="24"/>
          <w:szCs w:val="24"/>
          <w:lang w:val="en-CA"/>
        </w:rPr>
        <w:t>. Then, we estimated the number and percentage of active small-vessels and effective fishing effort sampled through interviews and observers onboard per fishing season.</w:t>
      </w:r>
      <w:r w:rsidR="003F28D7">
        <w:rPr>
          <w:sz w:val="24"/>
          <w:szCs w:val="24"/>
          <w:lang w:val="en-CA"/>
        </w:rPr>
        <w:t xml:space="preserve"> </w:t>
      </w:r>
      <w:r w:rsidR="003F28D7" w:rsidRPr="009F30DE">
        <w:rPr>
          <w:sz w:val="24"/>
          <w:szCs w:val="24"/>
          <w:lang w:val="en-CA"/>
        </w:rPr>
        <w:t>NA= Not available</w:t>
      </w:r>
      <w:bookmarkStart w:id="0" w:name="_Hlk19088276"/>
      <w:r w:rsidR="003F28D7" w:rsidRPr="009F30DE">
        <w:rPr>
          <w:sz w:val="24"/>
          <w:szCs w:val="24"/>
          <w:lang w:val="en-CA"/>
        </w:rPr>
        <w:t xml:space="preserve">. Source: Participatory Programme of Fisheries Monitoring and Research (PIMPP, </w:t>
      </w:r>
      <w:r w:rsidR="003F28D7">
        <w:rPr>
          <w:sz w:val="24"/>
          <w:szCs w:val="24"/>
          <w:lang w:val="en-CA"/>
        </w:rPr>
        <w:t>in Spanish)</w:t>
      </w:r>
      <w:bookmarkEnd w:id="0"/>
      <w:r w:rsidR="003F28D7">
        <w:rPr>
          <w:sz w:val="24"/>
          <w:szCs w:val="24"/>
          <w:lang w:val="en-CA"/>
        </w:rPr>
        <w:t xml:space="preserve">, Moreno et al. </w:t>
      </w:r>
      <w:r w:rsidR="003F28D7">
        <w:rPr>
          <w:sz w:val="24"/>
          <w:szCs w:val="24"/>
          <w:lang w:val="en-CA"/>
        </w:rPr>
        <w:fldChar w:fldCharType="begin" w:fldLock="1"/>
      </w:r>
      <w:r w:rsidR="003F28D7">
        <w:rPr>
          <w:sz w:val="24"/>
          <w:szCs w:val="24"/>
          <w:lang w:val="en-CA"/>
        </w:rPr>
        <w:instrText>ADDIN CSL_CITATION {"citationItems":[{"id":"ITEM-1","itemData":{"abstract":"Moreno J, Peñaherrera C, Hearn A (2007) Evaluación de la pesquería de langosta espinosa (Panulirus penicillatus y P. gracilis) en la Reserva Marina de Galápagos 2006. Fundación Charles Darwin, Galapagos, Ecuador","author":[{"dropping-particle":"","family":"Moreno","given":"Jerson","non-dropping-particle":"","parse-names":false,"suffix":""},{"dropping-particle":"","family":"Peñaherrera","given":"César","non-dropping-particle":"","parse-names":false,"suffix":""},{"dropping-particle":"","family":"Hearn","given":"Alex","non-dropping-particle":"","parse-names":false,"suffix":""}],"id":"ITEM-1","issued":{"date-parts":[["2007"]]},"publisher-place":"Galapagos, Ecuador","title":"Evaluación de la pesquería de langosta espinosa (Panulirus penicillatus y P. gracilis) en la Reserva Marina de Galápagos 2006","type":"report"},"suppress-author":1,"uris":["http://www.mendeley.com/documents/?uuid=b08f6845-1c0e-4abf-9b58-199a8d771243"]}],"mendeley":{"formattedCitation":"[40]","plainTextFormattedCitation":"[40]","previouslyFormattedCitation":"[40]"},"properties":{"noteIndex":0},"schema":"https://github.com/citation-style-language/schema/raw/master/csl-citation.json"}</w:instrText>
      </w:r>
      <w:r w:rsidR="003F28D7">
        <w:rPr>
          <w:sz w:val="24"/>
          <w:szCs w:val="24"/>
          <w:lang w:val="en-CA"/>
        </w:rPr>
        <w:fldChar w:fldCharType="separate"/>
      </w:r>
      <w:r w:rsidR="003F28D7" w:rsidRPr="00176BE4">
        <w:rPr>
          <w:noProof/>
          <w:sz w:val="24"/>
          <w:szCs w:val="24"/>
          <w:lang w:val="en-CA"/>
        </w:rPr>
        <w:t>[40]</w:t>
      </w:r>
      <w:r w:rsidR="003F28D7">
        <w:rPr>
          <w:sz w:val="24"/>
          <w:szCs w:val="24"/>
          <w:lang w:val="en-CA"/>
        </w:rPr>
        <w:fldChar w:fldCharType="end"/>
      </w:r>
      <w:r w:rsidR="003F28D7" w:rsidRPr="009F30DE">
        <w:rPr>
          <w:sz w:val="24"/>
          <w:szCs w:val="24"/>
          <w:lang w:val="en-CA"/>
        </w:rPr>
        <w:t xml:space="preserve">; Reyes and Ramírez </w:t>
      </w:r>
      <w:r w:rsidR="003F28D7">
        <w:rPr>
          <w:sz w:val="24"/>
          <w:szCs w:val="24"/>
          <w:lang w:val="en-CA"/>
        </w:rPr>
        <w:fldChar w:fldCharType="begin" w:fldLock="1"/>
      </w:r>
      <w:r w:rsidR="003F28D7">
        <w:rPr>
          <w:sz w:val="24"/>
          <w:szCs w:val="24"/>
          <w:lang w:val="en-CA"/>
        </w:rPr>
        <w:instrText>ADDIN CSL_CITATION {"citationItems":[{"id":"ITEM-1","itemData":{"author":[{"dropping-particle":"","family":"Reyes","given":"Harry","non-dropping-particle":"","parse-names":false,"suffix":""},{"dropping-particle":"","family":"Ramírez","given":"Jorge","non-dropping-particle":"","parse-names":false,"suffix":""}],"id":"ITEM-1","issued":{"date-parts":[["2012"]]},"number-of-pages":"15","publisher-place":"Puerto Ayora, Galapagos, Ecuador","title":"Informe técnico de la pesquería de langosta espinosa (Panulirus penicillatus y Panulirus gracilis) 2012 en la Reserva Marina de Galápagos","type":"report"},"suppress-author":1,"uris":["http://www.mendeley.com/documents/?uuid=3d07e643-263a-4f11-b276-23c785d2cc27"]}],"mendeley":{"formattedCitation":"[29]","plainTextFormattedCitation":"[29]","previouslyFormattedCitation":"[29]"},"properties":{"noteIndex":0},"schema":"https://github.com/citation-style-language/schema/raw/master/csl-citation.json"}</w:instrText>
      </w:r>
      <w:r w:rsidR="003F28D7">
        <w:rPr>
          <w:sz w:val="24"/>
          <w:szCs w:val="24"/>
          <w:lang w:val="en-CA"/>
        </w:rPr>
        <w:fldChar w:fldCharType="separate"/>
      </w:r>
      <w:r w:rsidR="003F28D7" w:rsidRPr="00177A27">
        <w:rPr>
          <w:noProof/>
          <w:sz w:val="24"/>
          <w:szCs w:val="24"/>
          <w:lang w:val="en-CA"/>
        </w:rPr>
        <w:t>[29]</w:t>
      </w:r>
      <w:r w:rsidR="003F28D7">
        <w:rPr>
          <w:sz w:val="24"/>
          <w:szCs w:val="24"/>
          <w:lang w:val="en-CA"/>
        </w:rPr>
        <w:fldChar w:fldCharType="end"/>
      </w:r>
      <w:r w:rsidR="003F28D7" w:rsidRPr="009F30DE">
        <w:rPr>
          <w:sz w:val="24"/>
          <w:szCs w:val="24"/>
          <w:lang w:val="en-CA"/>
        </w:rPr>
        <w:t>.</w:t>
      </w:r>
      <w:bookmarkStart w:id="1" w:name="_GoBack"/>
      <w:bookmarkEnd w:id="1"/>
    </w:p>
    <w:p w:rsidR="008A1C7E" w:rsidRDefault="008A1C7E" w:rsidP="008A1C7E">
      <w:pPr>
        <w:suppressLineNumbers/>
        <w:ind w:right="115"/>
        <w:rPr>
          <w:sz w:val="24"/>
          <w:szCs w:val="24"/>
          <w:lang w:val="en-CA"/>
        </w:rPr>
      </w:pPr>
    </w:p>
    <w:p w:rsidR="0096750C" w:rsidRPr="00D60D1D" w:rsidRDefault="0096750C" w:rsidP="008A1C7E">
      <w:pPr>
        <w:suppressLineNumbers/>
        <w:ind w:right="115"/>
        <w:rPr>
          <w:sz w:val="24"/>
          <w:szCs w:val="24"/>
          <w:lang w:val="en-CA"/>
        </w:rPr>
      </w:pPr>
    </w:p>
    <w:tbl>
      <w:tblPr>
        <w:tblStyle w:val="TableGrid"/>
        <w:tblW w:w="12505" w:type="dxa"/>
        <w:shd w:val="clear" w:color="auto" w:fill="FFFFFF" w:themeFill="background1"/>
        <w:tblLayout w:type="fixed"/>
        <w:tblLook w:val="04A0" w:firstRow="1" w:lastRow="0" w:firstColumn="1" w:lastColumn="0" w:noHBand="0" w:noVBand="1"/>
      </w:tblPr>
      <w:tblGrid>
        <w:gridCol w:w="1255"/>
        <w:gridCol w:w="1260"/>
        <w:gridCol w:w="1530"/>
        <w:gridCol w:w="1440"/>
        <w:gridCol w:w="990"/>
        <w:gridCol w:w="1710"/>
        <w:gridCol w:w="1080"/>
        <w:gridCol w:w="1620"/>
        <w:gridCol w:w="1620"/>
      </w:tblGrid>
      <w:tr w:rsidR="008A1C7E" w:rsidRPr="005E4C91" w:rsidTr="00D07E0B">
        <w:trPr>
          <w:trHeight w:val="759"/>
        </w:trPr>
        <w:tc>
          <w:tcPr>
            <w:tcW w:w="1255" w:type="dxa"/>
            <w:vMerge w:val="restart"/>
            <w:shd w:val="clear" w:color="auto" w:fill="FFFFFF" w:themeFill="background1"/>
            <w:vAlign w:val="center"/>
          </w:tcPr>
          <w:p w:rsidR="008A1C7E" w:rsidRPr="005E4C91" w:rsidRDefault="008A1C7E" w:rsidP="00D07E0B">
            <w:pPr>
              <w:suppressLineNumbers/>
              <w:ind w:right="115"/>
              <w:jc w:val="center"/>
              <w:rPr>
                <w:b/>
              </w:rPr>
            </w:pPr>
            <w:bookmarkStart w:id="2" w:name="_Hlk532466013"/>
            <w:r w:rsidRPr="005E4C91">
              <w:rPr>
                <w:b/>
              </w:rPr>
              <w:t>Fishing season</w:t>
            </w:r>
          </w:p>
        </w:tc>
        <w:tc>
          <w:tcPr>
            <w:tcW w:w="4230" w:type="dxa"/>
            <w:gridSpan w:val="3"/>
            <w:shd w:val="clear" w:color="auto" w:fill="FFFFFF" w:themeFill="background1"/>
            <w:vAlign w:val="center"/>
          </w:tcPr>
          <w:p w:rsidR="008A1C7E" w:rsidRDefault="008A1C7E" w:rsidP="00D07E0B">
            <w:pPr>
              <w:suppressLineNumbers/>
              <w:ind w:right="115"/>
              <w:jc w:val="center"/>
              <w:rPr>
                <w:b/>
              </w:rPr>
            </w:pPr>
          </w:p>
          <w:p w:rsidR="008A1C7E" w:rsidRPr="005E4C91" w:rsidRDefault="008A1C7E" w:rsidP="00D07E0B">
            <w:pPr>
              <w:suppressLineNumbers/>
              <w:ind w:right="115"/>
              <w:jc w:val="center"/>
              <w:rPr>
                <w:b/>
              </w:rPr>
            </w:pPr>
            <w:r w:rsidRPr="005E4C91">
              <w:rPr>
                <w:b/>
              </w:rPr>
              <w:t>Small vessels</w:t>
            </w:r>
          </w:p>
          <w:p w:rsidR="008A1C7E" w:rsidRPr="005E4C91" w:rsidRDefault="008A1C7E" w:rsidP="00D07E0B">
            <w:pPr>
              <w:suppressLineNumbers/>
              <w:ind w:right="115"/>
              <w:jc w:val="center"/>
              <w:rPr>
                <w:b/>
              </w:rPr>
            </w:pPr>
          </w:p>
        </w:tc>
        <w:tc>
          <w:tcPr>
            <w:tcW w:w="990" w:type="dxa"/>
            <w:vMerge w:val="restart"/>
            <w:shd w:val="clear" w:color="auto" w:fill="FFFFFF" w:themeFill="background1"/>
            <w:vAlign w:val="center"/>
          </w:tcPr>
          <w:p w:rsidR="008A1C7E" w:rsidRPr="005E4C91" w:rsidRDefault="008A1C7E" w:rsidP="00D07E0B">
            <w:pPr>
              <w:suppressLineNumbers/>
              <w:ind w:right="115"/>
              <w:jc w:val="center"/>
              <w:rPr>
                <w:b/>
                <w:vertAlign w:val="superscript"/>
              </w:rPr>
            </w:pPr>
            <w:r w:rsidRPr="005E4C91">
              <w:rPr>
                <w:b/>
              </w:rPr>
              <w:t>Catch</w:t>
            </w:r>
          </w:p>
          <w:p w:rsidR="008A1C7E" w:rsidRPr="005E4C91" w:rsidRDefault="008A1C7E" w:rsidP="00D07E0B">
            <w:pPr>
              <w:suppressLineNumbers/>
              <w:ind w:right="115"/>
              <w:jc w:val="center"/>
              <w:rPr>
                <w:b/>
              </w:rPr>
            </w:pPr>
            <w:r w:rsidRPr="005E4C91">
              <w:rPr>
                <w:b/>
              </w:rPr>
              <w:t>(tail t)</w:t>
            </w:r>
          </w:p>
        </w:tc>
        <w:tc>
          <w:tcPr>
            <w:tcW w:w="1710" w:type="dxa"/>
            <w:vMerge w:val="restart"/>
            <w:shd w:val="clear" w:color="auto" w:fill="FFFFFF" w:themeFill="background1"/>
            <w:vAlign w:val="center"/>
          </w:tcPr>
          <w:p w:rsidR="008A1C7E" w:rsidRPr="005E4C91" w:rsidRDefault="008A1C7E" w:rsidP="00D07E0B">
            <w:pPr>
              <w:suppressLineNumbers/>
              <w:ind w:right="115"/>
              <w:jc w:val="center"/>
              <w:rPr>
                <w:b/>
              </w:rPr>
            </w:pPr>
            <w:r w:rsidRPr="005E4C91">
              <w:rPr>
                <w:b/>
              </w:rPr>
              <w:t>CPUE</w:t>
            </w:r>
          </w:p>
          <w:p w:rsidR="008A1C7E" w:rsidRPr="005E4C91" w:rsidRDefault="008A1C7E" w:rsidP="00D07E0B">
            <w:pPr>
              <w:suppressLineNumbers/>
              <w:ind w:right="115"/>
              <w:jc w:val="center"/>
              <w:rPr>
                <w:b/>
              </w:rPr>
            </w:pPr>
            <w:r w:rsidRPr="005E4C91">
              <w:rPr>
                <w:b/>
              </w:rPr>
              <w:t>(tail kg diver</w:t>
            </w:r>
            <w:r w:rsidRPr="005E4C91">
              <w:rPr>
                <w:b/>
                <w:vertAlign w:val="superscript"/>
              </w:rPr>
              <w:t>-1</w:t>
            </w:r>
            <w:r w:rsidRPr="005E4C91">
              <w:rPr>
                <w:b/>
              </w:rPr>
              <w:t xml:space="preserve"> hour</w:t>
            </w:r>
            <w:r w:rsidRPr="005E4C91">
              <w:rPr>
                <w:b/>
                <w:vertAlign w:val="superscript"/>
              </w:rPr>
              <w:t>-1</w:t>
            </w:r>
            <w:r w:rsidRPr="005E4C91">
              <w:rPr>
                <w:b/>
              </w:rPr>
              <w:t>)</w:t>
            </w:r>
          </w:p>
        </w:tc>
        <w:tc>
          <w:tcPr>
            <w:tcW w:w="4320" w:type="dxa"/>
            <w:gridSpan w:val="3"/>
            <w:shd w:val="clear" w:color="auto" w:fill="FFFFFF" w:themeFill="background1"/>
            <w:vAlign w:val="center"/>
          </w:tcPr>
          <w:p w:rsidR="008A1C7E" w:rsidRPr="005E4C91" w:rsidRDefault="00FC16C1" w:rsidP="00D07E0B">
            <w:pPr>
              <w:suppressLineNumbers/>
              <w:ind w:right="115"/>
              <w:jc w:val="center"/>
              <w:rPr>
                <w:b/>
              </w:rPr>
            </w:pPr>
            <w:r>
              <w:rPr>
                <w:b/>
              </w:rPr>
              <w:t>Fishing e</w:t>
            </w:r>
            <w:r w:rsidR="008A1C7E" w:rsidRPr="005E4C91">
              <w:rPr>
                <w:b/>
              </w:rPr>
              <w:t>ffort</w:t>
            </w:r>
          </w:p>
          <w:p w:rsidR="008A1C7E" w:rsidRPr="005E4C91" w:rsidRDefault="008A1C7E" w:rsidP="00D07E0B">
            <w:pPr>
              <w:suppressLineNumbers/>
              <w:ind w:right="115"/>
              <w:jc w:val="center"/>
              <w:rPr>
                <w:b/>
              </w:rPr>
            </w:pPr>
            <w:r w:rsidRPr="005E4C91">
              <w:rPr>
                <w:b/>
              </w:rPr>
              <w:t>(diver hours)</w:t>
            </w:r>
          </w:p>
        </w:tc>
      </w:tr>
      <w:tr w:rsidR="008A1C7E" w:rsidRPr="005E4C91" w:rsidTr="00D07E0B">
        <w:trPr>
          <w:trHeight w:val="759"/>
        </w:trPr>
        <w:tc>
          <w:tcPr>
            <w:tcW w:w="1255" w:type="dxa"/>
            <w:vMerge/>
            <w:shd w:val="clear" w:color="auto" w:fill="FFFFFF" w:themeFill="background1"/>
            <w:vAlign w:val="center"/>
          </w:tcPr>
          <w:p w:rsidR="008A1C7E" w:rsidRPr="005E4C91" w:rsidRDefault="008A1C7E" w:rsidP="00D07E0B">
            <w:pPr>
              <w:suppressLineNumbers/>
              <w:ind w:right="115"/>
              <w:jc w:val="center"/>
              <w:rPr>
                <w:b/>
              </w:rPr>
            </w:pPr>
          </w:p>
        </w:tc>
        <w:tc>
          <w:tcPr>
            <w:tcW w:w="1260" w:type="dxa"/>
            <w:shd w:val="clear" w:color="auto" w:fill="FFFFFF" w:themeFill="background1"/>
            <w:vAlign w:val="center"/>
          </w:tcPr>
          <w:p w:rsidR="008A1C7E" w:rsidRPr="005E4C91" w:rsidRDefault="008A1C7E" w:rsidP="00D07E0B">
            <w:pPr>
              <w:suppressLineNumbers/>
              <w:ind w:right="115"/>
              <w:jc w:val="center"/>
              <w:rPr>
                <w:b/>
                <w:vertAlign w:val="superscript"/>
              </w:rPr>
            </w:pPr>
            <w:r w:rsidRPr="005E4C91">
              <w:rPr>
                <w:b/>
              </w:rPr>
              <w:t>Active</w:t>
            </w:r>
          </w:p>
        </w:tc>
        <w:tc>
          <w:tcPr>
            <w:tcW w:w="1530" w:type="dxa"/>
            <w:shd w:val="clear" w:color="auto" w:fill="FFFFFF" w:themeFill="background1"/>
            <w:vAlign w:val="center"/>
          </w:tcPr>
          <w:p w:rsidR="008A1C7E" w:rsidRPr="005E4C91" w:rsidRDefault="008A1C7E" w:rsidP="00D07E0B">
            <w:pPr>
              <w:suppressLineNumbers/>
              <w:ind w:right="115"/>
              <w:jc w:val="center"/>
              <w:rPr>
                <w:b/>
              </w:rPr>
            </w:pPr>
            <w:r w:rsidRPr="005E4C91">
              <w:rPr>
                <w:b/>
              </w:rPr>
              <w:t>Sampled by interviews</w:t>
            </w:r>
          </w:p>
          <w:p w:rsidR="008A1C7E" w:rsidRPr="005E4C91" w:rsidRDefault="008A1C7E" w:rsidP="00D07E0B">
            <w:pPr>
              <w:suppressLineNumbers/>
              <w:ind w:right="115"/>
              <w:jc w:val="center"/>
              <w:rPr>
                <w:b/>
              </w:rPr>
            </w:pPr>
            <w:r w:rsidRPr="005E4C91">
              <w:rPr>
                <w:b/>
              </w:rPr>
              <w:t>(% of total)</w:t>
            </w:r>
          </w:p>
        </w:tc>
        <w:tc>
          <w:tcPr>
            <w:tcW w:w="1440" w:type="dxa"/>
            <w:shd w:val="clear" w:color="auto" w:fill="FFFFFF" w:themeFill="background1"/>
            <w:vAlign w:val="center"/>
          </w:tcPr>
          <w:p w:rsidR="008A1C7E" w:rsidRPr="005E4C91" w:rsidRDefault="008A1C7E" w:rsidP="00D07E0B">
            <w:pPr>
              <w:suppressLineNumbers/>
              <w:ind w:right="115"/>
              <w:jc w:val="center"/>
              <w:rPr>
                <w:b/>
              </w:rPr>
            </w:pPr>
            <w:r w:rsidRPr="005E4C91">
              <w:rPr>
                <w:b/>
              </w:rPr>
              <w:t>Sampled by observers</w:t>
            </w:r>
          </w:p>
          <w:p w:rsidR="008A1C7E" w:rsidRPr="005E4C91" w:rsidRDefault="008A1C7E" w:rsidP="00D07E0B">
            <w:pPr>
              <w:suppressLineNumbers/>
              <w:ind w:right="115"/>
              <w:jc w:val="center"/>
              <w:rPr>
                <w:b/>
              </w:rPr>
            </w:pPr>
            <w:r w:rsidRPr="005E4C91">
              <w:rPr>
                <w:b/>
              </w:rPr>
              <w:t>(% of total)</w:t>
            </w:r>
          </w:p>
        </w:tc>
        <w:tc>
          <w:tcPr>
            <w:tcW w:w="990" w:type="dxa"/>
            <w:vMerge/>
            <w:shd w:val="clear" w:color="auto" w:fill="FFFFFF" w:themeFill="background1"/>
            <w:vAlign w:val="center"/>
          </w:tcPr>
          <w:p w:rsidR="008A1C7E" w:rsidRPr="005E4C91" w:rsidRDefault="008A1C7E" w:rsidP="00D07E0B">
            <w:pPr>
              <w:suppressLineNumbers/>
              <w:ind w:right="115"/>
              <w:jc w:val="center"/>
              <w:rPr>
                <w:b/>
              </w:rPr>
            </w:pPr>
          </w:p>
        </w:tc>
        <w:tc>
          <w:tcPr>
            <w:tcW w:w="1710" w:type="dxa"/>
            <w:vMerge/>
            <w:shd w:val="clear" w:color="auto" w:fill="FFFFFF" w:themeFill="background1"/>
            <w:vAlign w:val="center"/>
          </w:tcPr>
          <w:p w:rsidR="008A1C7E" w:rsidRPr="005E4C91" w:rsidRDefault="008A1C7E" w:rsidP="00D07E0B">
            <w:pPr>
              <w:suppressLineNumbers/>
              <w:ind w:right="115"/>
              <w:jc w:val="center"/>
              <w:rPr>
                <w:b/>
              </w:rPr>
            </w:pPr>
          </w:p>
        </w:tc>
        <w:tc>
          <w:tcPr>
            <w:tcW w:w="1080" w:type="dxa"/>
            <w:shd w:val="clear" w:color="auto" w:fill="FFFFFF" w:themeFill="background1"/>
            <w:vAlign w:val="center"/>
          </w:tcPr>
          <w:p w:rsidR="008A1C7E" w:rsidRPr="005E4C91" w:rsidRDefault="008A1C7E" w:rsidP="00D07E0B">
            <w:pPr>
              <w:suppressLineNumbers/>
              <w:ind w:right="115"/>
              <w:jc w:val="center"/>
              <w:rPr>
                <w:b/>
              </w:rPr>
            </w:pPr>
            <w:r w:rsidRPr="005E4C91">
              <w:rPr>
                <w:b/>
              </w:rPr>
              <w:t>Total</w:t>
            </w:r>
          </w:p>
        </w:tc>
        <w:tc>
          <w:tcPr>
            <w:tcW w:w="1620" w:type="dxa"/>
            <w:shd w:val="clear" w:color="auto" w:fill="FFFFFF" w:themeFill="background1"/>
            <w:vAlign w:val="center"/>
          </w:tcPr>
          <w:p w:rsidR="008A1C7E" w:rsidRPr="005E4C91" w:rsidRDefault="008A1C7E" w:rsidP="00D07E0B">
            <w:pPr>
              <w:suppressLineNumbers/>
              <w:ind w:right="115"/>
              <w:jc w:val="center"/>
              <w:rPr>
                <w:b/>
              </w:rPr>
            </w:pPr>
            <w:r w:rsidRPr="005E4C91">
              <w:rPr>
                <w:b/>
              </w:rPr>
              <w:t>Sampled by interviews</w:t>
            </w:r>
          </w:p>
          <w:p w:rsidR="008A1C7E" w:rsidRPr="005E4C91" w:rsidRDefault="008A1C7E" w:rsidP="00D07E0B">
            <w:pPr>
              <w:suppressLineNumbers/>
              <w:ind w:right="115"/>
              <w:jc w:val="center"/>
              <w:rPr>
                <w:b/>
              </w:rPr>
            </w:pPr>
            <w:r w:rsidRPr="005E4C91">
              <w:rPr>
                <w:b/>
              </w:rPr>
              <w:t>(% of total)</w:t>
            </w:r>
          </w:p>
        </w:tc>
        <w:tc>
          <w:tcPr>
            <w:tcW w:w="1620" w:type="dxa"/>
            <w:shd w:val="clear" w:color="auto" w:fill="FFFFFF" w:themeFill="background1"/>
            <w:vAlign w:val="center"/>
          </w:tcPr>
          <w:p w:rsidR="008A1C7E" w:rsidRPr="005E4C91" w:rsidRDefault="008A1C7E" w:rsidP="00D07E0B">
            <w:pPr>
              <w:suppressLineNumbers/>
              <w:ind w:right="115"/>
              <w:jc w:val="center"/>
              <w:rPr>
                <w:b/>
              </w:rPr>
            </w:pPr>
            <w:r w:rsidRPr="005E4C91">
              <w:rPr>
                <w:b/>
              </w:rPr>
              <w:t>Sampled by observers</w:t>
            </w:r>
          </w:p>
          <w:p w:rsidR="008A1C7E" w:rsidRPr="005E4C91" w:rsidRDefault="008A1C7E" w:rsidP="00D07E0B">
            <w:pPr>
              <w:suppressLineNumbers/>
              <w:ind w:right="115"/>
              <w:jc w:val="center"/>
              <w:rPr>
                <w:b/>
              </w:rPr>
            </w:pPr>
            <w:r w:rsidRPr="005E4C91">
              <w:rPr>
                <w:b/>
              </w:rPr>
              <w:t>(% of total)</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1997</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rPr>
                <w:vertAlign w:val="superscript"/>
              </w:rPr>
            </w:pPr>
            <w:r w:rsidRPr="005E4C91">
              <w:t>147</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83 (56)</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65.2</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1.7</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38349</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4064 (11)</w:t>
            </w:r>
          </w:p>
        </w:tc>
        <w:tc>
          <w:tcPr>
            <w:tcW w:w="1620" w:type="dxa"/>
            <w:shd w:val="clear" w:color="auto" w:fill="FFFFFF" w:themeFill="background1"/>
            <w:vAlign w:val="center"/>
          </w:tcPr>
          <w:p w:rsidR="008A1C7E" w:rsidRPr="005E4C91" w:rsidRDefault="008A1C7E" w:rsidP="00930B8C">
            <w:pPr>
              <w:suppressLineNumbers/>
              <w:spacing w:line="480" w:lineRule="auto"/>
              <w:ind w:right="108"/>
              <w:jc w:val="center"/>
            </w:pPr>
            <w:r w:rsidRPr="005E4C91">
              <w:t>0</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1998</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147</w:t>
            </w:r>
            <w:r w:rsidRPr="005E4C91">
              <w:rPr>
                <w:vertAlign w:val="superscript"/>
              </w:rPr>
              <w:t>1</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78 (53)</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30.8</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1.3</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24150</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3833 (16)</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1999</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194</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140 (72)</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52.8</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1.8</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29589</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7963 (27)</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2000</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286</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244 (85)</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18 (6)</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82.8</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2.1</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38952</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16587 (43)</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1283 (3)</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2001</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287</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236 (82)</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53 (18)</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64.5</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1.7</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38156</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14721 (39)</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2352 (6)</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2002</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276</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196 (71)</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49 (18)</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50.1</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1.3</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38454</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10521 (27)</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2483 (6)</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lastRenderedPageBreak/>
              <w:t>2003</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228</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184 (81)</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32 (14)</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45.9</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1.2</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37680</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10156 (27)</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1398 (4)</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2004</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280</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81 (29)</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36 (13)</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25.7</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1.1</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22533</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2141 (10)</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1260 (6)</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2005</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245</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30 (12)</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63 (26)</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34.3</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1.2</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28105</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283 (1)</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1892 (7)</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2006</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rPr>
                <w:vertAlign w:val="superscript"/>
              </w:rPr>
            </w:pPr>
            <w:r w:rsidRPr="005E4C91">
              <w:t>177</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45 (25)</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62 (35)</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29.6</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1.4</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21833</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2801 (13)</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2221 (10)</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2007</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NA</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0</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30.2</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NA</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NA</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0</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0</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2008</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rPr>
                <w:vertAlign w:val="superscript"/>
              </w:rPr>
            </w:pPr>
            <w:r w:rsidRPr="005E4C91">
              <w:t>150</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vertAlign w:val="superscript"/>
              </w:rPr>
            </w:pPr>
            <w:r w:rsidRPr="005E4C91">
              <w:rPr>
                <w:color w:val="000000"/>
              </w:rPr>
              <w:t>102 (68)</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29.8</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1.8</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16463</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2417 (15)</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216 (1)</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2009</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126</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126 (100)</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20.4</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1.5</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13486</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12659 (94)</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0</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2010</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128</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128 (100)</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21.7</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1.5</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14706</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14083 (96)</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r>
      <w:tr w:rsidR="008A1C7E" w:rsidRPr="005E4C91" w:rsidTr="00930B8C">
        <w:trPr>
          <w:trHeight w:val="20"/>
        </w:trPr>
        <w:tc>
          <w:tcPr>
            <w:tcW w:w="1255"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2011</w:t>
            </w:r>
          </w:p>
        </w:tc>
        <w:tc>
          <w:tcPr>
            <w:tcW w:w="126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167</w:t>
            </w:r>
          </w:p>
        </w:tc>
        <w:tc>
          <w:tcPr>
            <w:tcW w:w="153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167 (100)</w:t>
            </w:r>
          </w:p>
        </w:tc>
        <w:tc>
          <w:tcPr>
            <w:tcW w:w="144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c>
          <w:tcPr>
            <w:tcW w:w="99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41.7</w:t>
            </w:r>
          </w:p>
        </w:tc>
        <w:tc>
          <w:tcPr>
            <w:tcW w:w="171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2.8</w:t>
            </w:r>
          </w:p>
        </w:tc>
        <w:tc>
          <w:tcPr>
            <w:tcW w:w="108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15041</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rPr>
                <w:color w:val="000000"/>
              </w:rPr>
            </w:pPr>
            <w:r w:rsidRPr="005E4C91">
              <w:rPr>
                <w:color w:val="000000"/>
              </w:rPr>
              <w:t>14474 (96)</w:t>
            </w:r>
          </w:p>
        </w:tc>
        <w:tc>
          <w:tcPr>
            <w:tcW w:w="1620" w:type="dxa"/>
            <w:shd w:val="clear" w:color="auto" w:fill="FFFFFF" w:themeFill="background1"/>
            <w:vAlign w:val="center"/>
          </w:tcPr>
          <w:p w:rsidR="008A1C7E" w:rsidRPr="005E4C91" w:rsidRDefault="008A1C7E" w:rsidP="00D07E0B">
            <w:pPr>
              <w:suppressLineNumbers/>
              <w:spacing w:line="480" w:lineRule="auto"/>
              <w:ind w:right="108"/>
              <w:jc w:val="center"/>
            </w:pPr>
            <w:r w:rsidRPr="005E4C91">
              <w:t>0</w:t>
            </w:r>
          </w:p>
        </w:tc>
      </w:tr>
    </w:tbl>
    <w:bookmarkEnd w:id="2"/>
    <w:p w:rsidR="008A1C7E" w:rsidRPr="009F30DE" w:rsidRDefault="008A1C7E" w:rsidP="008A1C7E">
      <w:pPr>
        <w:suppressLineNumbers/>
        <w:spacing w:line="480" w:lineRule="auto"/>
        <w:ind w:right="108"/>
        <w:rPr>
          <w:sz w:val="20"/>
          <w:szCs w:val="20"/>
          <w:lang w:val="en-CA"/>
        </w:rPr>
      </w:pPr>
      <w:r w:rsidRPr="009F30DE">
        <w:rPr>
          <w:sz w:val="20"/>
          <w:szCs w:val="20"/>
          <w:vertAlign w:val="superscript"/>
          <w:lang w:val="en-CA"/>
        </w:rPr>
        <w:t>1</w:t>
      </w:r>
      <w:r w:rsidRPr="009F30DE">
        <w:rPr>
          <w:sz w:val="20"/>
          <w:szCs w:val="20"/>
          <w:lang w:val="en-CA"/>
        </w:rPr>
        <w:t xml:space="preserve"> Because lack of data, it is assumed that the number of active vessels in 1998 is equal to 1997.</w:t>
      </w:r>
    </w:p>
    <w:p w:rsidR="008A1C7E" w:rsidRDefault="008A1C7E" w:rsidP="008A1C7E">
      <w:pPr>
        <w:pStyle w:val="Heading1"/>
        <w:suppressLineNumbers/>
        <w:rPr>
          <w:shd w:val="clear" w:color="auto" w:fill="FFFFFF"/>
          <w:lang w:val="en-CA"/>
        </w:rPr>
      </w:pPr>
    </w:p>
    <w:p w:rsidR="0072503A" w:rsidRPr="008A1C7E" w:rsidRDefault="0072503A">
      <w:pPr>
        <w:rPr>
          <w:lang w:val="en-CA"/>
        </w:rPr>
      </w:pPr>
    </w:p>
    <w:sectPr w:rsidR="0072503A" w:rsidRPr="008A1C7E" w:rsidSect="008A1C7E">
      <w:pgSz w:w="15840" w:h="12240" w:orient="landscape"/>
      <w:pgMar w:top="1701"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E"/>
    <w:rsid w:val="003F28D7"/>
    <w:rsid w:val="0041059C"/>
    <w:rsid w:val="006D43C2"/>
    <w:rsid w:val="0072503A"/>
    <w:rsid w:val="007D590A"/>
    <w:rsid w:val="008434E3"/>
    <w:rsid w:val="008A1C7E"/>
    <w:rsid w:val="00930B8C"/>
    <w:rsid w:val="0096750C"/>
    <w:rsid w:val="00D07E0B"/>
    <w:rsid w:val="00FC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29420-9288-445F-BA8E-DE894129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A1C7E"/>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A1C7E"/>
    <w:pPr>
      <w:spacing w:before="30"/>
      <w:ind w:right="2764"/>
      <w:outlineLvl w:val="0"/>
    </w:pPr>
    <w:rPr>
      <w:rFonts w:ascii="Verdana" w:eastAsia="Verdana" w:hAnsi="Verdana" w:cs="Verdana"/>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1C7E"/>
    <w:rPr>
      <w:rFonts w:ascii="Verdana" w:eastAsia="Verdana" w:hAnsi="Verdana" w:cs="Verdana"/>
      <w:b/>
      <w:bCs/>
      <w:sz w:val="36"/>
      <w:szCs w:val="24"/>
    </w:rPr>
  </w:style>
  <w:style w:type="table" w:styleId="TableGrid">
    <w:name w:val="Table Grid"/>
    <w:basedOn w:val="TableNormal"/>
    <w:uiPriority w:val="59"/>
    <w:rsid w:val="008A1C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67C1D1-318A-45DB-88AD-9813539E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Castrejón</dc:creator>
  <cp:keywords/>
  <dc:description/>
  <cp:lastModifiedBy>Mauricio Castrejón</cp:lastModifiedBy>
  <cp:revision>8</cp:revision>
  <dcterms:created xsi:type="dcterms:W3CDTF">2019-09-11T14:21:00Z</dcterms:created>
  <dcterms:modified xsi:type="dcterms:W3CDTF">2020-01-10T01:02:00Z</dcterms:modified>
</cp:coreProperties>
</file>