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A958" w14:textId="77777777" w:rsidR="000D54D5" w:rsidRPr="000D54D5" w:rsidRDefault="000D54D5" w:rsidP="000D54D5">
      <w:pPr>
        <w:pStyle w:val="a3"/>
        <w:shd w:val="clear" w:color="auto" w:fill="FFFFFF"/>
        <w:jc w:val="center"/>
        <w:rPr>
          <w:rFonts w:ascii="맑은 고딕" w:eastAsia="맑은 고딕" w:hAnsi="맑은 고딕"/>
          <w:b/>
          <w:color w:val="000000"/>
          <w:sz w:val="36"/>
          <w:szCs w:val="36"/>
        </w:rPr>
      </w:pPr>
      <w:r w:rsidRPr="000D54D5">
        <w:rPr>
          <w:rFonts w:ascii="맑은 고딕" w:eastAsia="맑은 고딕" w:hAnsi="맑은 고딕" w:hint="eastAsia"/>
          <w:b/>
          <w:color w:val="000000"/>
          <w:sz w:val="36"/>
          <w:szCs w:val="36"/>
        </w:rPr>
        <w:t>RESPONSE TO REVIEWER</w:t>
      </w:r>
      <w:r w:rsidRPr="000D54D5">
        <w:rPr>
          <w:rFonts w:ascii="맑은 고딕" w:eastAsia="맑은 고딕" w:hAnsi="맑은 고딕"/>
          <w:b/>
          <w:color w:val="000000"/>
          <w:sz w:val="36"/>
          <w:szCs w:val="36"/>
        </w:rPr>
        <w:t>’S COMMENTS</w:t>
      </w:r>
    </w:p>
    <w:p w14:paraId="666E916D" w14:textId="77777777" w:rsidR="005E30ED" w:rsidRPr="005E30ED" w:rsidRDefault="005E30ED" w:rsidP="000D54D5">
      <w:pPr>
        <w:pStyle w:val="a3"/>
        <w:shd w:val="clear" w:color="auto" w:fill="FFFFFF"/>
        <w:rPr>
          <w:rFonts w:ascii="맑은 고딕" w:eastAsia="맑은 고딕" w:hAnsi="맑은 고딕"/>
          <w:b/>
          <w:bCs/>
          <w:color w:val="201F1E"/>
          <w:sz w:val="23"/>
          <w:szCs w:val="23"/>
          <w:shd w:val="clear" w:color="auto" w:fill="FFFFFF"/>
        </w:rPr>
      </w:pPr>
      <w:r w:rsidRPr="005E30ED">
        <w:rPr>
          <w:rFonts w:ascii="맑은 고딕" w:eastAsia="맑은 고딕" w:hAnsi="맑은 고딕" w:hint="eastAsia"/>
          <w:b/>
          <w:bCs/>
          <w:color w:val="201F1E"/>
          <w:sz w:val="23"/>
          <w:szCs w:val="23"/>
          <w:shd w:val="clear" w:color="auto" w:fill="FFFFFF"/>
        </w:rPr>
        <w:t>Additional Editor Comments (if provided):</w:t>
      </w:r>
    </w:p>
    <w:p w14:paraId="433AE96B" w14:textId="77777777" w:rsidR="005E30ED" w:rsidRPr="005E30ED" w:rsidRDefault="005E30ED" w:rsidP="000D54D5">
      <w:pPr>
        <w:pStyle w:val="a3"/>
        <w:shd w:val="clear" w:color="auto" w:fill="FFFFFF"/>
        <w:rPr>
          <w:rFonts w:ascii="맑은 고딕" w:eastAsia="맑은 고딕" w:hAnsi="맑은 고딕"/>
          <w:b/>
          <w:bCs/>
          <w:color w:val="201F1E"/>
          <w:sz w:val="23"/>
          <w:szCs w:val="23"/>
        </w:rPr>
      </w:pPr>
      <w:r w:rsidRPr="005E30ED">
        <w:rPr>
          <w:rFonts w:ascii="맑은 고딕" w:eastAsia="맑은 고딕" w:hAnsi="맑은 고딕" w:hint="eastAsia"/>
          <w:b/>
          <w:bCs/>
          <w:color w:val="201F1E"/>
          <w:sz w:val="23"/>
          <w:szCs w:val="23"/>
          <w:shd w:val="clear" w:color="auto" w:fill="FFFFFF"/>
        </w:rPr>
        <w:t xml:space="preserve">The arrangement of the figure legends (they appeared in the middle of the text), and extra lines </w:t>
      </w:r>
      <w:proofErr w:type="gramStart"/>
      <w:r w:rsidRPr="005E30ED">
        <w:rPr>
          <w:rFonts w:ascii="맑은 고딕" w:eastAsia="맑은 고딕" w:hAnsi="맑은 고딕" w:hint="eastAsia"/>
          <w:b/>
          <w:bCs/>
          <w:color w:val="201F1E"/>
          <w:sz w:val="23"/>
          <w:szCs w:val="23"/>
          <w:shd w:val="clear" w:color="auto" w:fill="FFFFFF"/>
        </w:rPr>
        <w:t>e.g.</w:t>
      </w:r>
      <w:proofErr w:type="gramEnd"/>
      <w:r w:rsidRPr="005E30ED">
        <w:rPr>
          <w:rFonts w:ascii="맑은 고딕" w:eastAsia="맑은 고딕" w:hAnsi="맑은 고딕" w:hint="eastAsia"/>
          <w:b/>
          <w:bCs/>
          <w:color w:val="201F1E"/>
          <w:sz w:val="23"/>
          <w:szCs w:val="23"/>
          <w:shd w:val="clear" w:color="auto" w:fill="FFFFFF"/>
        </w:rPr>
        <w:t xml:space="preserve"> row 173 and 193 make things difficult to understand.</w:t>
      </w:r>
    </w:p>
    <w:p w14:paraId="1967329A" w14:textId="42FDD328" w:rsidR="005E30ED" w:rsidRDefault="005E30ED" w:rsidP="000D54D5">
      <w:pPr>
        <w:pStyle w:val="a3"/>
        <w:shd w:val="clear" w:color="auto" w:fill="FFFFFF"/>
        <w:rPr>
          <w:rFonts w:ascii="맑은 고딕" w:eastAsia="맑은 고딕" w:hAnsi="맑은 고딕"/>
          <w:b/>
          <w:bCs/>
          <w:color w:val="201F1E"/>
          <w:sz w:val="23"/>
          <w:szCs w:val="23"/>
          <w:shd w:val="clear" w:color="auto" w:fill="FFFFFF"/>
        </w:rPr>
      </w:pPr>
      <w:r w:rsidRPr="005E30ED">
        <w:rPr>
          <w:rFonts w:ascii="맑은 고딕" w:eastAsia="맑은 고딕" w:hAnsi="맑은 고딕" w:hint="eastAsia"/>
          <w:b/>
          <w:bCs/>
          <w:color w:val="201F1E"/>
          <w:sz w:val="23"/>
          <w:szCs w:val="23"/>
          <w:shd w:val="clear" w:color="auto" w:fill="FFFFFF"/>
        </w:rPr>
        <w:t xml:space="preserve">The main text is like a report describing the numbers indicated in the tables and figures, but not the usual format of a writing to elaborate research outcome with clear ideas being supported by tables and figure. Authors might consider </w:t>
      </w:r>
      <w:proofErr w:type="gramStart"/>
      <w:r w:rsidRPr="005E30ED">
        <w:rPr>
          <w:rFonts w:ascii="맑은 고딕" w:eastAsia="맑은 고딕" w:hAnsi="맑은 고딕" w:hint="eastAsia"/>
          <w:b/>
          <w:bCs/>
          <w:color w:val="201F1E"/>
          <w:sz w:val="23"/>
          <w:szCs w:val="23"/>
          <w:shd w:val="clear" w:color="auto" w:fill="FFFFFF"/>
        </w:rPr>
        <w:t>to restructure</w:t>
      </w:r>
      <w:proofErr w:type="gramEnd"/>
      <w:r w:rsidRPr="005E30ED">
        <w:rPr>
          <w:rFonts w:ascii="맑은 고딕" w:eastAsia="맑은 고딕" w:hAnsi="맑은 고딕" w:hint="eastAsia"/>
          <w:b/>
          <w:bCs/>
          <w:color w:val="201F1E"/>
          <w:sz w:val="23"/>
          <w:szCs w:val="23"/>
          <w:shd w:val="clear" w:color="auto" w:fill="FFFFFF"/>
        </w:rPr>
        <w:t xml:space="preserve"> the result part.</w:t>
      </w:r>
    </w:p>
    <w:p w14:paraId="54BF9C22" w14:textId="4C8C5A78" w:rsidR="005E30ED" w:rsidRDefault="005E30ED" w:rsidP="005E30ED">
      <w:pPr>
        <w:pStyle w:val="a3"/>
        <w:shd w:val="clear" w:color="auto" w:fill="FFFFFF"/>
        <w:rPr>
          <w:rFonts w:ascii="맑은 고딕" w:eastAsia="맑은 고딕" w:hAnsi="맑은 고딕"/>
          <w:bCs/>
          <w:i/>
          <w:iCs/>
          <w:color w:val="201F1E"/>
        </w:rPr>
      </w:pPr>
      <w:r w:rsidRPr="00F0758E">
        <w:rPr>
          <w:rFonts w:ascii="맑은 고딕" w:eastAsia="맑은 고딕" w:hAnsi="맑은 고딕"/>
          <w:bCs/>
          <w:i/>
          <w:iCs/>
          <w:color w:val="201F1E"/>
        </w:rPr>
        <w:t>Answer</w:t>
      </w:r>
      <w:r>
        <w:rPr>
          <w:rFonts w:ascii="맑은 고딕" w:eastAsia="맑은 고딕" w:hAnsi="맑은 고딕"/>
          <w:bCs/>
          <w:i/>
          <w:iCs/>
          <w:color w:val="201F1E"/>
        </w:rPr>
        <w:t xml:space="preserve">) </w:t>
      </w:r>
      <w:r>
        <w:rPr>
          <w:rFonts w:ascii="맑은 고딕" w:eastAsia="맑은 고딕" w:hAnsi="맑은 고딕" w:hint="eastAsia"/>
          <w:bCs/>
          <w:i/>
          <w:iCs/>
          <w:color w:val="201F1E"/>
        </w:rPr>
        <w:t>T</w:t>
      </w:r>
      <w:r>
        <w:rPr>
          <w:rFonts w:ascii="맑은 고딕" w:eastAsia="맑은 고딕" w:hAnsi="맑은 고딕"/>
          <w:bCs/>
          <w:i/>
          <w:iCs/>
          <w:color w:val="201F1E"/>
        </w:rPr>
        <w:t xml:space="preserve">here are too many figures and tables in the results section, </w:t>
      </w:r>
      <w:r w:rsidR="00875A36">
        <w:rPr>
          <w:rFonts w:ascii="맑은 고딕" w:eastAsia="맑은 고딕" w:hAnsi="맑은 고딕"/>
          <w:bCs/>
          <w:i/>
          <w:iCs/>
          <w:color w:val="201F1E"/>
        </w:rPr>
        <w:t>so</w:t>
      </w:r>
      <w:r>
        <w:rPr>
          <w:rFonts w:ascii="맑은 고딕" w:eastAsia="맑은 고딕" w:hAnsi="맑은 고딕"/>
          <w:bCs/>
          <w:i/>
          <w:iCs/>
          <w:color w:val="201F1E"/>
        </w:rPr>
        <w:t xml:space="preserve"> when I tried to explain the in detail, it became very com</w:t>
      </w:r>
      <w:r w:rsidR="00875A36">
        <w:rPr>
          <w:rFonts w:ascii="맑은 고딕" w:eastAsia="맑은 고딕" w:hAnsi="맑은 고딕"/>
          <w:bCs/>
          <w:i/>
          <w:iCs/>
          <w:color w:val="201F1E"/>
        </w:rPr>
        <w:t>plicated, and i</w:t>
      </w:r>
      <w:r>
        <w:rPr>
          <w:rFonts w:ascii="맑은 고딕" w:eastAsia="맑은 고딕" w:hAnsi="맑은 고딕"/>
          <w:bCs/>
          <w:i/>
          <w:iCs/>
          <w:color w:val="201F1E"/>
        </w:rPr>
        <w:t xml:space="preserve">t seems that I failed to show the core contents of this study. To </w:t>
      </w:r>
      <w:r w:rsidR="00875A36">
        <w:rPr>
          <w:rFonts w:ascii="맑은 고딕" w:eastAsia="맑은 고딕" w:hAnsi="맑은 고딕"/>
          <w:bCs/>
          <w:i/>
          <w:iCs/>
          <w:color w:val="201F1E"/>
        </w:rPr>
        <w:t>improve this, the contents of the results section have been greatly reduced and only the core sentences have been included. The symbols of respiratory viruses in Fig. 3 were also modified in the order of A, B, and C from the first appearing in the main text.</w:t>
      </w:r>
    </w:p>
    <w:p w14:paraId="55D5A442" w14:textId="40E919B8" w:rsidR="005E30ED" w:rsidRDefault="005E30ED" w:rsidP="005E30ED">
      <w:pPr>
        <w:pStyle w:val="a3"/>
        <w:shd w:val="clear" w:color="auto" w:fill="FFFFFF"/>
        <w:rPr>
          <w:rFonts w:ascii="맑은 고딕" w:eastAsia="맑은 고딕" w:hAnsi="맑은 고딕"/>
          <w:bCs/>
          <w:i/>
          <w:iCs/>
          <w:color w:val="201F1E"/>
        </w:rPr>
      </w:pPr>
      <w:r>
        <w:rPr>
          <w:rFonts w:ascii="맑은 고딕" w:eastAsia="맑은 고딕" w:hAnsi="맑은 고딕" w:hint="eastAsia"/>
          <w:bCs/>
          <w:i/>
          <w:iCs/>
          <w:color w:val="201F1E"/>
        </w:rPr>
        <w:t>F</w:t>
      </w:r>
      <w:r>
        <w:rPr>
          <w:rFonts w:ascii="맑은 고딕" w:eastAsia="맑은 고딕" w:hAnsi="맑은 고딕"/>
          <w:bCs/>
          <w:i/>
          <w:iCs/>
          <w:color w:val="201F1E"/>
        </w:rPr>
        <w:t>rom)</w:t>
      </w:r>
      <w:r w:rsidR="00FB0B11">
        <w:rPr>
          <w:rFonts w:ascii="맑은 고딕" w:eastAsia="맑은 고딕" w:hAnsi="맑은 고딕"/>
          <w:bCs/>
          <w:i/>
          <w:iCs/>
          <w:color w:val="201F1E"/>
        </w:rPr>
        <w:t xml:space="preserve"> The 2</w:t>
      </w:r>
      <w:r w:rsidR="00FB0B11" w:rsidRPr="00FB0B11">
        <w:rPr>
          <w:rFonts w:ascii="맑은 고딕" w:eastAsia="맑은 고딕" w:hAnsi="맑은 고딕"/>
          <w:bCs/>
          <w:i/>
          <w:iCs/>
          <w:color w:val="201F1E"/>
          <w:vertAlign w:val="superscript"/>
        </w:rPr>
        <w:t>nd</w:t>
      </w:r>
      <w:r w:rsidR="00FB0B11">
        <w:rPr>
          <w:rFonts w:ascii="맑은 고딕" w:eastAsia="맑은 고딕" w:hAnsi="맑은 고딕"/>
          <w:bCs/>
          <w:i/>
          <w:iCs/>
          <w:color w:val="201F1E"/>
        </w:rPr>
        <w:t xml:space="preserve"> paragraph of the results</w:t>
      </w:r>
    </w:p>
    <w:p w14:paraId="1D57BBB0" w14:textId="77777777" w:rsidR="00FB0B11" w:rsidRPr="002B7F2C" w:rsidRDefault="00FB0B11" w:rsidP="00FB0B11">
      <w:pPr>
        <w:wordWrap/>
        <w:spacing w:line="240" w:lineRule="auto"/>
        <w:jc w:val="left"/>
        <w:rPr>
          <w:rFonts w:ascii="Times New Roman" w:hAnsi="Times New Roman"/>
          <w:sz w:val="24"/>
          <w:szCs w:val="24"/>
        </w:rPr>
      </w:pPr>
      <w:r w:rsidRPr="006E39B7">
        <w:rPr>
          <w:rFonts w:ascii="Times New Roman" w:hAnsi="Times New Roman"/>
          <w:strike/>
          <w:sz w:val="24"/>
          <w:szCs w:val="24"/>
        </w:rPr>
        <w:t xml:space="preserve">Figure 1 presents the curves of the weekly number of respiratory virus PCR tests and the weekly proportion of negative test results in the K-CDC dataset, with the graph of the weekly number of patients with COVID-19, </w:t>
      </w:r>
      <w:r w:rsidRPr="006E39B7">
        <w:rPr>
          <w:rFonts w:ascii="Times New Roman" w:eastAsia="Times New Roman" w:hAnsi="Times New Roman"/>
          <w:strike/>
          <w:sz w:val="24"/>
          <w:szCs w:val="24"/>
        </w:rPr>
        <w:t>during the study period</w:t>
      </w:r>
      <w:r w:rsidRPr="002B7F2C">
        <w:rPr>
          <w:rFonts w:ascii="Times New Roman" w:hAnsi="Times New Roman"/>
          <w:sz w:val="24"/>
          <w:szCs w:val="24"/>
        </w:rPr>
        <w:t xml:space="preserve">. </w:t>
      </w:r>
      <w:r w:rsidRPr="007E004B">
        <w:rPr>
          <w:rFonts w:ascii="Times New Roman" w:hAnsi="Times New Roman"/>
          <w:sz w:val="24"/>
          <w:szCs w:val="24"/>
        </w:rPr>
        <w:t>T</w:t>
      </w:r>
      <w:r w:rsidRPr="002B7F2C">
        <w:rPr>
          <w:rFonts w:ascii="Times New Roman" w:hAnsi="Times New Roman"/>
          <w:sz w:val="24"/>
          <w:szCs w:val="24"/>
        </w:rPr>
        <w:t xml:space="preserve">he number of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Pr>
          <w:rFonts w:ascii="Times New Roman" w:hAnsi="Times New Roman"/>
          <w:sz w:val="24"/>
          <w:szCs w:val="24"/>
        </w:rPr>
        <w:t>P</w:t>
      </w:r>
      <w:r w:rsidRPr="002B7F2C">
        <w:rPr>
          <w:rFonts w:ascii="Times New Roman" w:hAnsi="Times New Roman"/>
          <w:sz w:val="24"/>
          <w:szCs w:val="24"/>
        </w:rPr>
        <w:t>CR tests rapidly decreased</w:t>
      </w:r>
      <w:r>
        <w:rPr>
          <w:rFonts w:ascii="Times New Roman" w:hAnsi="Times New Roman"/>
          <w:sz w:val="24"/>
          <w:szCs w:val="24"/>
        </w:rPr>
        <w:t xml:space="preserve"> </w:t>
      </w:r>
      <w:r w:rsidRPr="007E004B">
        <w:rPr>
          <w:rFonts w:ascii="Times New Roman" w:hAnsi="Times New Roman"/>
          <w:sz w:val="24"/>
          <w:szCs w:val="24"/>
        </w:rPr>
        <w:t>from the 9th week of 2020</w:t>
      </w:r>
      <w:r w:rsidRPr="002B7F2C">
        <w:rPr>
          <w:rFonts w:ascii="Times New Roman" w:hAnsi="Times New Roman"/>
          <w:sz w:val="24"/>
          <w:szCs w:val="24"/>
        </w:rPr>
        <w:t xml:space="preserve">, and from the 10th week to the 42nd week of 2020, the number of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sidRPr="002B7F2C">
        <w:rPr>
          <w:rFonts w:ascii="Times New Roman" w:hAnsi="Times New Roman"/>
          <w:sz w:val="24"/>
          <w:szCs w:val="24"/>
        </w:rPr>
        <w:t xml:space="preserve">PCR tests continued to be ≤100. </w:t>
      </w:r>
      <w:r w:rsidRPr="006E39B7">
        <w:rPr>
          <w:rFonts w:ascii="Times New Roman" w:hAnsi="Times New Roman"/>
          <w:strike/>
          <w:sz w:val="24"/>
          <w:szCs w:val="24"/>
        </w:rPr>
        <w:t>The proportion of negative test results reached 87.8% in the 12th week of 2020, exceeded 75% during level 3 of social distancing, and decreased by the 19th week.</w:t>
      </w:r>
      <w:r w:rsidRPr="002B7F2C">
        <w:rPr>
          <w:rFonts w:ascii="Times New Roman" w:hAnsi="Times New Roman"/>
          <w:sz w:val="24"/>
          <w:szCs w:val="24"/>
        </w:rPr>
        <w:t xml:space="preserve"> </w:t>
      </w:r>
      <w:r w:rsidRPr="006E39B7">
        <w:rPr>
          <w:rFonts w:ascii="Times New Roman" w:hAnsi="Times New Roman"/>
          <w:strike/>
          <w:sz w:val="24"/>
          <w:szCs w:val="24"/>
        </w:rPr>
        <w:t>The proportion of negative test results was maintained around 50% during level 1 social distancing but gradually increased with the start of level 2 social distancing; it increased to 86.1% in the 41st week (Figure 1).</w:t>
      </w:r>
      <w:r w:rsidRPr="002B7F2C">
        <w:rPr>
          <w:rFonts w:ascii="Times New Roman" w:hAnsi="Times New Roman"/>
          <w:sz w:val="24"/>
          <w:szCs w:val="24"/>
        </w:rPr>
        <w:t xml:space="preserve"> A decrease in the number of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sidRPr="002B7F2C">
        <w:rPr>
          <w:rFonts w:ascii="Times New Roman" w:hAnsi="Times New Roman"/>
          <w:sz w:val="24"/>
          <w:szCs w:val="24"/>
        </w:rPr>
        <w:t xml:space="preserve">PCR tests and an increase in the proportion of negative test results during level 3 social distancing were also observed in the university hospital dataset (S1 Fig). </w:t>
      </w:r>
    </w:p>
    <w:p w14:paraId="49C80137" w14:textId="77777777" w:rsidR="00FB0B11" w:rsidRPr="002B7F2C" w:rsidRDefault="00FB0B11" w:rsidP="00FB0B11">
      <w:pPr>
        <w:wordWrap/>
        <w:spacing w:line="240" w:lineRule="auto"/>
        <w:jc w:val="left"/>
        <w:rPr>
          <w:rFonts w:ascii="Times New Roman" w:hAnsi="Times New Roman"/>
          <w:b/>
          <w:sz w:val="24"/>
          <w:szCs w:val="24"/>
        </w:rPr>
      </w:pPr>
      <w:r w:rsidRPr="008B1639">
        <w:rPr>
          <w:rFonts w:ascii="Times New Roman" w:hAnsi="Times New Roman"/>
          <w:b/>
          <w:sz w:val="24"/>
          <w:szCs w:val="24"/>
        </w:rPr>
        <w:t xml:space="preserve">Fig 1. Weekly proportion of negative </w:t>
      </w:r>
      <w:r w:rsidRPr="007E004B">
        <w:rPr>
          <w:rFonts w:ascii="Times New Roman" w:hAnsi="Times New Roman"/>
          <w:b/>
          <w:sz w:val="24"/>
          <w:szCs w:val="24"/>
        </w:rPr>
        <w:t>respiratory virus</w:t>
      </w:r>
      <w:r w:rsidRPr="008B1639">
        <w:rPr>
          <w:rFonts w:ascii="Times New Roman" w:hAnsi="Times New Roman"/>
          <w:b/>
          <w:sz w:val="24"/>
          <w:szCs w:val="24"/>
        </w:rPr>
        <w:t xml:space="preserve"> PCR test results (upper graph), weekly number of COVID-19 patients (middle graph), and weekly number of </w:t>
      </w:r>
      <w:r w:rsidRPr="007E004B">
        <w:rPr>
          <w:rFonts w:ascii="Times New Roman" w:hAnsi="Times New Roman"/>
          <w:b/>
          <w:sz w:val="24"/>
          <w:szCs w:val="24"/>
        </w:rPr>
        <w:t>respiratory virus</w:t>
      </w:r>
      <w:r w:rsidRPr="008B1639">
        <w:rPr>
          <w:rFonts w:ascii="Times New Roman" w:hAnsi="Times New Roman"/>
          <w:b/>
          <w:sz w:val="24"/>
          <w:szCs w:val="24"/>
        </w:rPr>
        <w:t xml:space="preserve"> PCR tests (lower graph) in South Korea </w:t>
      </w:r>
      <w:bookmarkStart w:id="0" w:name="_Hlk71836604"/>
      <w:r w:rsidRPr="008B1639">
        <w:rPr>
          <w:rFonts w:ascii="Times New Roman" w:hAnsi="Times New Roman"/>
          <w:b/>
          <w:sz w:val="24"/>
          <w:szCs w:val="24"/>
        </w:rPr>
        <w:t>between the 1st week of 2015 and the 42nd week of 2020</w:t>
      </w:r>
      <w:bookmarkEnd w:id="0"/>
      <w:r w:rsidRPr="008B1639">
        <w:rPr>
          <w:rFonts w:ascii="Times New Roman" w:hAnsi="Times New Roman"/>
          <w:b/>
          <w:sz w:val="24"/>
          <w:szCs w:val="24"/>
        </w:rPr>
        <w:t>.</w:t>
      </w:r>
    </w:p>
    <w:p w14:paraId="18E37040" w14:textId="412E3DE2" w:rsidR="00FB0B11" w:rsidRDefault="00FB0B11" w:rsidP="00FB0B11">
      <w:pPr>
        <w:wordWrap/>
        <w:spacing w:line="240" w:lineRule="auto"/>
        <w:jc w:val="left"/>
        <w:rPr>
          <w:rFonts w:ascii="Times New Roman" w:hAnsi="Times New Roman"/>
          <w:sz w:val="24"/>
          <w:szCs w:val="24"/>
        </w:rPr>
      </w:pPr>
      <w:r w:rsidRPr="008B1639">
        <w:rPr>
          <w:rFonts w:ascii="Times New Roman" w:hAnsi="Times New Roman"/>
          <w:sz w:val="24"/>
          <w:szCs w:val="24"/>
        </w:rPr>
        <w:t>PCR</w:t>
      </w:r>
      <w:r w:rsidRPr="002B7F2C">
        <w:rPr>
          <w:rFonts w:ascii="Times New Roman" w:hAnsi="Times New Roman"/>
          <w:sz w:val="24"/>
          <w:szCs w:val="24"/>
        </w:rPr>
        <w:t xml:space="preserve">, </w:t>
      </w:r>
      <w:r w:rsidRPr="008B1639">
        <w:rPr>
          <w:rFonts w:ascii="Times New Roman" w:hAnsi="Times New Roman"/>
          <w:sz w:val="24"/>
          <w:szCs w:val="24"/>
        </w:rPr>
        <w:t>Polymerase chain reaction</w:t>
      </w:r>
      <w:r w:rsidRPr="002B7F2C">
        <w:rPr>
          <w:rFonts w:ascii="Times New Roman" w:hAnsi="Times New Roman"/>
          <w:sz w:val="24"/>
          <w:szCs w:val="24"/>
        </w:rPr>
        <w:t xml:space="preserve">; COVID-19, Coronavirus disease </w:t>
      </w:r>
      <w:r w:rsidRPr="007E004B">
        <w:rPr>
          <w:rFonts w:ascii="Times New Roman" w:hAnsi="Times New Roman"/>
          <w:sz w:val="24"/>
          <w:szCs w:val="24"/>
        </w:rPr>
        <w:t>2019</w:t>
      </w:r>
    </w:p>
    <w:p w14:paraId="2608DF5E" w14:textId="3D6DF1F0" w:rsidR="00FB0B11" w:rsidRDefault="00FB0B11" w:rsidP="00FB0B11">
      <w:pPr>
        <w:wordWrap/>
        <w:spacing w:line="240" w:lineRule="auto"/>
        <w:jc w:val="left"/>
        <w:rPr>
          <w:rFonts w:ascii="Times New Roman" w:hAnsi="Times New Roman"/>
          <w:sz w:val="24"/>
          <w:szCs w:val="24"/>
        </w:rPr>
      </w:pPr>
    </w:p>
    <w:p w14:paraId="375BD6A4" w14:textId="16FAE39E" w:rsidR="00FB0B11" w:rsidRDefault="00FB0B11" w:rsidP="00FB0B11">
      <w:pPr>
        <w:pStyle w:val="a3"/>
        <w:shd w:val="clear" w:color="auto" w:fill="FFFFFF"/>
        <w:rPr>
          <w:rFonts w:ascii="맑은 고딕" w:eastAsia="맑은 고딕" w:hAnsi="맑은 고딕"/>
          <w:bCs/>
          <w:i/>
          <w:iCs/>
          <w:color w:val="201F1E"/>
        </w:rPr>
      </w:pPr>
      <w:r>
        <w:rPr>
          <w:rFonts w:ascii="맑은 고딕" w:eastAsia="맑은 고딕" w:hAnsi="맑은 고딕" w:hint="eastAsia"/>
          <w:bCs/>
          <w:i/>
          <w:iCs/>
          <w:color w:val="201F1E"/>
        </w:rPr>
        <w:lastRenderedPageBreak/>
        <w:t>T</w:t>
      </w:r>
      <w:r>
        <w:rPr>
          <w:rFonts w:ascii="맑은 고딕" w:eastAsia="맑은 고딕" w:hAnsi="맑은 고딕"/>
          <w:bCs/>
          <w:i/>
          <w:iCs/>
          <w:color w:val="201F1E"/>
        </w:rPr>
        <w:t>o)</w:t>
      </w:r>
      <w:r>
        <w:rPr>
          <w:rFonts w:ascii="맑은 고딕" w:eastAsia="맑은 고딕" w:hAnsi="맑은 고딕"/>
          <w:bCs/>
          <w:i/>
          <w:iCs/>
          <w:color w:val="201F1E"/>
        </w:rPr>
        <w:t xml:space="preserve"> The 2</w:t>
      </w:r>
      <w:r w:rsidRPr="00FB0B11">
        <w:rPr>
          <w:rFonts w:ascii="맑은 고딕" w:eastAsia="맑은 고딕" w:hAnsi="맑은 고딕"/>
          <w:bCs/>
          <w:i/>
          <w:iCs/>
          <w:color w:val="201F1E"/>
          <w:vertAlign w:val="superscript"/>
        </w:rPr>
        <w:t>nd</w:t>
      </w:r>
      <w:r>
        <w:rPr>
          <w:rFonts w:ascii="맑은 고딕" w:eastAsia="맑은 고딕" w:hAnsi="맑은 고딕"/>
          <w:bCs/>
          <w:i/>
          <w:iCs/>
          <w:color w:val="201F1E"/>
        </w:rPr>
        <w:t xml:space="preserve"> paragraph of the results </w:t>
      </w:r>
    </w:p>
    <w:p w14:paraId="5EF4BDD4" w14:textId="06DF1601" w:rsidR="00FB0B11" w:rsidRPr="002B7F2C" w:rsidRDefault="00FB0B11" w:rsidP="00FB0B11">
      <w:pPr>
        <w:pStyle w:val="a3"/>
        <w:shd w:val="clear" w:color="auto" w:fill="FFFFFF"/>
        <w:rPr>
          <w:rFonts w:ascii="Times New Roman" w:hAnsi="Times New Roman"/>
        </w:rPr>
      </w:pPr>
      <w:r w:rsidRPr="006E39B7">
        <w:rPr>
          <w:rFonts w:ascii="Times New Roman" w:hAnsi="Times New Roman"/>
          <w:highlight w:val="yellow"/>
        </w:rPr>
        <w:t>As the number of COVID-19 infections increased rapidly from the 9</w:t>
      </w:r>
      <w:r w:rsidRPr="006E39B7">
        <w:rPr>
          <w:rFonts w:ascii="Times New Roman" w:hAnsi="Times New Roman"/>
          <w:highlight w:val="yellow"/>
          <w:vertAlign w:val="superscript"/>
        </w:rPr>
        <w:t>th</w:t>
      </w:r>
      <w:r w:rsidRPr="006E39B7">
        <w:rPr>
          <w:rFonts w:ascii="Times New Roman" w:hAnsi="Times New Roman"/>
          <w:highlight w:val="yellow"/>
        </w:rPr>
        <w:t xml:space="preserve"> week in 2020 and social distancing was implemented from the 10</w:t>
      </w:r>
      <w:r w:rsidRPr="006E39B7">
        <w:rPr>
          <w:rFonts w:ascii="Times New Roman" w:hAnsi="Times New Roman"/>
          <w:highlight w:val="yellow"/>
          <w:vertAlign w:val="superscript"/>
        </w:rPr>
        <w:t>th</w:t>
      </w:r>
      <w:r w:rsidRPr="006E39B7">
        <w:rPr>
          <w:rFonts w:ascii="Times New Roman" w:hAnsi="Times New Roman"/>
          <w:highlight w:val="yellow"/>
        </w:rPr>
        <w:t xml:space="preserve"> week, the number of PCR tests decreased by less than a half compared to 2015-2019, and the respiratory virus PCR results was almost negative (Figure 1). The same changes are observed in the university hospital data (S1 Fig).</w:t>
      </w:r>
      <w:r>
        <w:rPr>
          <w:rFonts w:ascii="Times New Roman" w:hAnsi="Times New Roman"/>
        </w:rPr>
        <w:t xml:space="preserve"> </w:t>
      </w:r>
    </w:p>
    <w:p w14:paraId="3DE76765" w14:textId="6E235052" w:rsidR="00FB0B11" w:rsidRPr="002B7F2C" w:rsidRDefault="00FB0B11" w:rsidP="00FB0B11">
      <w:pPr>
        <w:wordWrap/>
        <w:spacing w:line="240" w:lineRule="auto"/>
        <w:jc w:val="left"/>
        <w:rPr>
          <w:rFonts w:ascii="Times New Roman" w:hAnsi="Times New Roman" w:hint="eastAsia"/>
          <w:sz w:val="24"/>
          <w:szCs w:val="24"/>
        </w:rPr>
      </w:pPr>
      <w:r w:rsidRPr="008B1639">
        <w:rPr>
          <w:rFonts w:ascii="Times New Roman" w:hAnsi="Times New Roman"/>
          <w:b/>
          <w:sz w:val="24"/>
          <w:szCs w:val="24"/>
        </w:rPr>
        <w:t xml:space="preserve">Fig 1. Weekly proportion of negative </w:t>
      </w:r>
      <w:r w:rsidRPr="007E004B">
        <w:rPr>
          <w:rFonts w:ascii="Times New Roman" w:hAnsi="Times New Roman"/>
          <w:b/>
          <w:sz w:val="24"/>
          <w:szCs w:val="24"/>
        </w:rPr>
        <w:t>respiratory virus</w:t>
      </w:r>
      <w:r w:rsidRPr="008B1639">
        <w:rPr>
          <w:rFonts w:ascii="Times New Roman" w:hAnsi="Times New Roman"/>
          <w:b/>
          <w:sz w:val="24"/>
          <w:szCs w:val="24"/>
        </w:rPr>
        <w:t xml:space="preserve"> PCR test results (upper graph), weekly number of COVID-19 patients (middle graph), and weekly number of </w:t>
      </w:r>
      <w:r w:rsidRPr="007E004B">
        <w:rPr>
          <w:rFonts w:ascii="Times New Roman" w:hAnsi="Times New Roman"/>
          <w:b/>
          <w:sz w:val="24"/>
          <w:szCs w:val="24"/>
        </w:rPr>
        <w:t>respiratory virus</w:t>
      </w:r>
      <w:r w:rsidRPr="008B1639">
        <w:rPr>
          <w:rFonts w:ascii="Times New Roman" w:hAnsi="Times New Roman"/>
          <w:b/>
          <w:sz w:val="24"/>
          <w:szCs w:val="24"/>
        </w:rPr>
        <w:t xml:space="preserve"> PCR tests (lower graph) in South Korea between the 1st week of 2015 and the 42nd week of 2020.</w:t>
      </w:r>
      <w:r>
        <w:rPr>
          <w:rFonts w:ascii="Times New Roman" w:hAnsi="Times New Roman"/>
          <w:b/>
          <w:sz w:val="24"/>
          <w:szCs w:val="24"/>
        </w:rPr>
        <w:t xml:space="preserve"> </w:t>
      </w:r>
      <w:r w:rsidRPr="008B1639">
        <w:rPr>
          <w:rFonts w:ascii="Times New Roman" w:hAnsi="Times New Roman"/>
          <w:sz w:val="24"/>
          <w:szCs w:val="24"/>
        </w:rPr>
        <w:t>PCR</w:t>
      </w:r>
      <w:r w:rsidRPr="002B7F2C">
        <w:rPr>
          <w:rFonts w:ascii="Times New Roman" w:hAnsi="Times New Roman"/>
          <w:sz w:val="24"/>
          <w:szCs w:val="24"/>
        </w:rPr>
        <w:t xml:space="preserve">, </w:t>
      </w:r>
      <w:r w:rsidRPr="008B1639">
        <w:rPr>
          <w:rFonts w:ascii="Times New Roman" w:hAnsi="Times New Roman"/>
          <w:sz w:val="24"/>
          <w:szCs w:val="24"/>
        </w:rPr>
        <w:t>Polymerase chain reaction</w:t>
      </w:r>
      <w:r w:rsidRPr="002B7F2C">
        <w:rPr>
          <w:rFonts w:ascii="Times New Roman" w:hAnsi="Times New Roman"/>
          <w:sz w:val="24"/>
          <w:szCs w:val="24"/>
        </w:rPr>
        <w:t xml:space="preserve">; COVID-19, Coronavirus disease </w:t>
      </w:r>
      <w:r w:rsidRPr="007E004B">
        <w:rPr>
          <w:rFonts w:ascii="Times New Roman" w:hAnsi="Times New Roman"/>
          <w:sz w:val="24"/>
          <w:szCs w:val="24"/>
        </w:rPr>
        <w:t>2019</w:t>
      </w:r>
      <w:r>
        <w:rPr>
          <w:rFonts w:ascii="Times New Roman" w:hAnsi="Times New Roman"/>
          <w:sz w:val="24"/>
          <w:szCs w:val="24"/>
        </w:rPr>
        <w:t>.</w:t>
      </w:r>
    </w:p>
    <w:p w14:paraId="0038528B" w14:textId="77777777" w:rsidR="00FB0B11" w:rsidRDefault="00FB0B11" w:rsidP="00FB0B11">
      <w:pPr>
        <w:wordWrap/>
        <w:spacing w:line="240" w:lineRule="auto"/>
        <w:jc w:val="left"/>
        <w:rPr>
          <w:rFonts w:eastAsiaTheme="minorHAnsi"/>
          <w:i/>
          <w:iCs/>
          <w:sz w:val="24"/>
          <w:szCs w:val="24"/>
        </w:rPr>
      </w:pPr>
    </w:p>
    <w:p w14:paraId="685615D9" w14:textId="59BF8EE7" w:rsidR="00FB0B11" w:rsidRPr="00FB0B11" w:rsidRDefault="00FB0B11" w:rsidP="00FB0B11">
      <w:pPr>
        <w:wordWrap/>
        <w:spacing w:line="240" w:lineRule="auto"/>
        <w:jc w:val="left"/>
        <w:rPr>
          <w:rFonts w:eastAsiaTheme="minorHAnsi"/>
          <w:i/>
          <w:iCs/>
          <w:sz w:val="24"/>
          <w:szCs w:val="24"/>
        </w:rPr>
      </w:pPr>
      <w:r w:rsidRPr="00FB0B11">
        <w:rPr>
          <w:rFonts w:eastAsiaTheme="minorHAnsi" w:hint="eastAsia"/>
          <w:i/>
          <w:iCs/>
          <w:sz w:val="24"/>
          <w:szCs w:val="24"/>
        </w:rPr>
        <w:t>F</w:t>
      </w:r>
      <w:r w:rsidRPr="00FB0B11">
        <w:rPr>
          <w:rFonts w:eastAsiaTheme="minorHAnsi"/>
          <w:i/>
          <w:iCs/>
          <w:sz w:val="24"/>
          <w:szCs w:val="24"/>
        </w:rPr>
        <w:t>rom)</w:t>
      </w:r>
      <w:r>
        <w:rPr>
          <w:rFonts w:eastAsiaTheme="minorHAnsi"/>
          <w:i/>
          <w:iCs/>
          <w:sz w:val="24"/>
          <w:szCs w:val="24"/>
        </w:rPr>
        <w:t xml:space="preserve"> The 3</w:t>
      </w:r>
      <w:r w:rsidRPr="00FB0B11">
        <w:rPr>
          <w:rFonts w:eastAsiaTheme="minorHAnsi"/>
          <w:i/>
          <w:iCs/>
          <w:sz w:val="24"/>
          <w:szCs w:val="24"/>
          <w:vertAlign w:val="superscript"/>
        </w:rPr>
        <w:t>rd</w:t>
      </w:r>
      <w:r>
        <w:rPr>
          <w:rFonts w:eastAsiaTheme="minorHAnsi"/>
          <w:i/>
          <w:iCs/>
          <w:sz w:val="24"/>
          <w:szCs w:val="24"/>
        </w:rPr>
        <w:t xml:space="preserve"> paragraph of the results </w:t>
      </w:r>
    </w:p>
    <w:p w14:paraId="4991146D" w14:textId="77777777" w:rsidR="00FB0B11" w:rsidRDefault="00FB0B11" w:rsidP="00FB0B11">
      <w:pPr>
        <w:wordWrap/>
        <w:spacing w:line="240" w:lineRule="auto"/>
        <w:ind w:firstLine="800"/>
        <w:jc w:val="left"/>
        <w:rPr>
          <w:rFonts w:ascii="Times New Roman" w:hAnsi="Times New Roman"/>
          <w:sz w:val="24"/>
          <w:szCs w:val="24"/>
        </w:rPr>
      </w:pPr>
      <w:r w:rsidRPr="006E39B7">
        <w:rPr>
          <w:rFonts w:ascii="Times New Roman" w:hAnsi="Times New Roman"/>
          <w:strike/>
          <w:sz w:val="24"/>
          <w:szCs w:val="24"/>
        </w:rPr>
        <w:t>Figure 2 shows the mean proportion of negative respiratory virus</w:t>
      </w:r>
      <w:r w:rsidRPr="006E39B7" w:rsidDel="00E875F0">
        <w:rPr>
          <w:rFonts w:ascii="Times New Roman" w:hAnsi="Times New Roman"/>
          <w:strike/>
          <w:sz w:val="24"/>
          <w:szCs w:val="24"/>
        </w:rPr>
        <w:t xml:space="preserve"> </w:t>
      </w:r>
      <w:r w:rsidRPr="006E39B7">
        <w:rPr>
          <w:rFonts w:ascii="Times New Roman" w:hAnsi="Times New Roman"/>
          <w:strike/>
          <w:sz w:val="24"/>
          <w:szCs w:val="24"/>
        </w:rPr>
        <w:t>PCR test results and the mean number of respiratory virus</w:t>
      </w:r>
      <w:r w:rsidRPr="006E39B7" w:rsidDel="00E875F0">
        <w:rPr>
          <w:rFonts w:ascii="Times New Roman" w:hAnsi="Times New Roman"/>
          <w:strike/>
          <w:sz w:val="24"/>
          <w:szCs w:val="24"/>
        </w:rPr>
        <w:t xml:space="preserve"> </w:t>
      </w:r>
      <w:r w:rsidRPr="006E39B7">
        <w:rPr>
          <w:rFonts w:ascii="Times New Roman" w:hAnsi="Times New Roman"/>
          <w:strike/>
          <w:sz w:val="24"/>
          <w:szCs w:val="24"/>
        </w:rPr>
        <w:t>PCR tests according to each level of social distancing.</w:t>
      </w:r>
      <w:r w:rsidRPr="002B7F2C">
        <w:rPr>
          <w:rFonts w:ascii="Times New Roman" w:hAnsi="Times New Roman"/>
          <w:sz w:val="24"/>
          <w:szCs w:val="24"/>
        </w:rPr>
        <w:t xml:space="preserve"> The more stringent the level of social distancing, the higher was the proportion of negative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sidRPr="002B7F2C">
        <w:rPr>
          <w:rFonts w:ascii="Times New Roman" w:hAnsi="Times New Roman"/>
          <w:sz w:val="24"/>
          <w:szCs w:val="24"/>
        </w:rPr>
        <w:t>PCR test results (</w:t>
      </w:r>
      <w:r w:rsidRPr="002B7F2C">
        <w:rPr>
          <w:rFonts w:ascii="Times New Roman" w:hAnsi="Times New Roman"/>
          <w:i/>
          <w:iCs/>
          <w:sz w:val="24"/>
          <w:szCs w:val="24"/>
        </w:rPr>
        <w:t>P</w:t>
      </w:r>
      <w:r w:rsidRPr="002B7F2C">
        <w:rPr>
          <w:rFonts w:ascii="Times New Roman" w:hAnsi="Times New Roman"/>
          <w:sz w:val="24"/>
          <w:szCs w:val="24"/>
        </w:rPr>
        <w:t xml:space="preserve"> &lt; 0.001 using the Kruskal-Wallis test; the results of post hoc comparisons </w:t>
      </w:r>
      <w:r w:rsidRPr="002F6B28">
        <w:rPr>
          <w:rFonts w:ascii="Times New Roman" w:hAnsi="Times New Roman"/>
          <w:color w:val="000000"/>
          <w:sz w:val="24"/>
          <w:szCs w:val="24"/>
        </w:rPr>
        <w:t xml:space="preserve">using Mann-Whitney </w:t>
      </w:r>
      <w:r w:rsidRPr="002F6B28">
        <w:rPr>
          <w:rFonts w:ascii="Times New Roman" w:hAnsi="Times New Roman"/>
          <w:i/>
          <w:iCs/>
          <w:color w:val="000000"/>
          <w:sz w:val="24"/>
          <w:szCs w:val="24"/>
        </w:rPr>
        <w:t>U</w:t>
      </w:r>
      <w:r w:rsidRPr="002F6B28">
        <w:rPr>
          <w:rFonts w:ascii="Times New Roman" w:hAnsi="Times New Roman"/>
          <w:color w:val="000000"/>
          <w:sz w:val="24"/>
          <w:szCs w:val="24"/>
        </w:rPr>
        <w:t xml:space="preserve"> test with Bonferroni correction</w:t>
      </w:r>
      <w:r>
        <w:rPr>
          <w:rFonts w:ascii="Times New Roman" w:hAnsi="Times New Roman"/>
          <w:color w:val="FF0000"/>
          <w:sz w:val="24"/>
          <w:szCs w:val="24"/>
        </w:rPr>
        <w:t xml:space="preserve"> </w:t>
      </w:r>
      <w:r w:rsidRPr="002B7F2C">
        <w:rPr>
          <w:rFonts w:ascii="Times New Roman" w:hAnsi="Times New Roman"/>
          <w:sz w:val="24"/>
          <w:szCs w:val="24"/>
        </w:rPr>
        <w:t>are presented in Table</w:t>
      </w:r>
      <w:r>
        <w:rPr>
          <w:rFonts w:ascii="Times New Roman" w:hAnsi="Times New Roman"/>
          <w:sz w:val="24"/>
          <w:szCs w:val="24"/>
        </w:rPr>
        <w:t xml:space="preserve"> 2</w:t>
      </w:r>
      <w:r w:rsidRPr="002B7F2C">
        <w:rPr>
          <w:rFonts w:ascii="Times New Roman" w:hAnsi="Times New Roman"/>
          <w:sz w:val="24"/>
          <w:szCs w:val="24"/>
        </w:rPr>
        <w:t xml:space="preserve">). The number of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sidRPr="002B7F2C">
        <w:rPr>
          <w:rFonts w:ascii="Times New Roman" w:hAnsi="Times New Roman"/>
          <w:sz w:val="24"/>
          <w:szCs w:val="24"/>
        </w:rPr>
        <w:t xml:space="preserve">PCR tests was significantly different between the periods with and without social distancing </w:t>
      </w:r>
      <w:r w:rsidRPr="002F6B28">
        <w:rPr>
          <w:rFonts w:ascii="Times New Roman" w:hAnsi="Times New Roman"/>
          <w:color w:val="000000"/>
          <w:sz w:val="24"/>
          <w:szCs w:val="24"/>
        </w:rPr>
        <w:t xml:space="preserve">– adjusted </w:t>
      </w:r>
      <w:r w:rsidRPr="002F6B28">
        <w:rPr>
          <w:rFonts w:ascii="Times New Roman" w:hAnsi="Times New Roman"/>
          <w:i/>
          <w:iCs/>
          <w:color w:val="000000"/>
          <w:sz w:val="24"/>
          <w:szCs w:val="24"/>
        </w:rPr>
        <w:t>P</w:t>
      </w:r>
      <w:r w:rsidRPr="002F6B28">
        <w:rPr>
          <w:rFonts w:ascii="Times New Roman" w:hAnsi="Times New Roman"/>
          <w:color w:val="000000"/>
          <w:sz w:val="24"/>
          <w:szCs w:val="24"/>
        </w:rPr>
        <w:t xml:space="preserve"> value is &lt;0.001 when comparing the “no social distancing group” and the level 1, 2, and 3 social distancing group, respectively (Table 2).</w:t>
      </w:r>
      <w:r>
        <w:rPr>
          <w:rFonts w:ascii="Times New Roman" w:hAnsi="Times New Roman"/>
          <w:sz w:val="24"/>
          <w:szCs w:val="24"/>
        </w:rPr>
        <w:t xml:space="preserve"> </w:t>
      </w:r>
      <w:r w:rsidRPr="002F6B28">
        <w:rPr>
          <w:rFonts w:ascii="Times New Roman" w:hAnsi="Times New Roman"/>
          <w:color w:val="000000"/>
          <w:sz w:val="24"/>
          <w:szCs w:val="24"/>
        </w:rPr>
        <w:t>However</w:t>
      </w:r>
      <w:r w:rsidRPr="002B7F2C">
        <w:rPr>
          <w:rFonts w:ascii="Times New Roman" w:hAnsi="Times New Roman"/>
          <w:sz w:val="24"/>
          <w:szCs w:val="24"/>
        </w:rPr>
        <w:t xml:space="preserve">, </w:t>
      </w:r>
      <w:r w:rsidRPr="002F6B28">
        <w:rPr>
          <w:rFonts w:ascii="Times New Roman" w:hAnsi="Times New Roman"/>
          <w:color w:val="000000"/>
          <w:sz w:val="24"/>
          <w:szCs w:val="24"/>
        </w:rPr>
        <w:t>when the three social distancing groups were compared with each other in the number of respiratory virus PCR tests, there was no significant difference (Table 2).</w:t>
      </w:r>
      <w:r w:rsidRPr="002B7F2C">
        <w:rPr>
          <w:rFonts w:ascii="Times New Roman" w:hAnsi="Times New Roman"/>
          <w:sz w:val="24"/>
          <w:szCs w:val="24"/>
        </w:rPr>
        <w:t xml:space="preserve"> </w:t>
      </w:r>
    </w:p>
    <w:p w14:paraId="5DC97755" w14:textId="77777777" w:rsidR="00FB0B11" w:rsidRPr="002F6B28" w:rsidRDefault="00FB0B11" w:rsidP="00FB0B11">
      <w:pPr>
        <w:wordWrap/>
        <w:spacing w:line="240" w:lineRule="auto"/>
        <w:rPr>
          <w:rFonts w:ascii="Times New Roman" w:eastAsia="Times New Roman" w:hAnsi="Times New Roman"/>
          <w:b/>
          <w:color w:val="000000"/>
          <w:sz w:val="24"/>
          <w:szCs w:val="24"/>
        </w:rPr>
      </w:pPr>
      <w:r w:rsidRPr="002F6B28">
        <w:rPr>
          <w:rFonts w:ascii="Times New Roman" w:eastAsia="Times New Roman" w:hAnsi="Times New Roman"/>
          <w:b/>
          <w:color w:val="000000"/>
          <w:sz w:val="24"/>
          <w:szCs w:val="24"/>
        </w:rPr>
        <w:t>Fig 2. Mean proportion of negative respiratory virus PCR test results according to the level of social distancing (</w:t>
      </w:r>
      <w:r w:rsidRPr="002F6B28">
        <w:rPr>
          <w:rFonts w:ascii="Times New Roman" w:hAnsi="Times New Roman"/>
          <w:b/>
          <w:color w:val="000000"/>
          <w:sz w:val="24"/>
          <w:szCs w:val="24"/>
        </w:rPr>
        <w:t xml:space="preserve">between the 1st week of 2015 and the 42nd week of 2020; a total of 303 weeks) </w:t>
      </w:r>
      <w:r w:rsidRPr="002F6B28">
        <w:rPr>
          <w:rFonts w:ascii="Times New Roman" w:eastAsia="Times New Roman" w:hAnsi="Times New Roman"/>
          <w:b/>
          <w:color w:val="000000"/>
          <w:sz w:val="24"/>
          <w:szCs w:val="24"/>
        </w:rPr>
        <w:t>and the mean number of respiratory virus tests according to the level of social distancing (</w:t>
      </w:r>
      <w:r w:rsidRPr="002F6B28">
        <w:rPr>
          <w:rFonts w:ascii="Times New Roman" w:hAnsi="Times New Roman"/>
          <w:b/>
          <w:color w:val="000000"/>
          <w:sz w:val="24"/>
          <w:szCs w:val="24"/>
        </w:rPr>
        <w:t>between the 23rd week of 2017 and the 39th</w:t>
      </w:r>
      <w:r w:rsidRPr="002F6B28">
        <w:rPr>
          <w:rFonts w:ascii="Times New Roman" w:hAnsi="Times New Roman"/>
          <w:b/>
          <w:color w:val="000000"/>
          <w:sz w:val="24"/>
          <w:szCs w:val="24"/>
          <w:vertAlign w:val="superscript"/>
        </w:rPr>
        <w:t xml:space="preserve"> </w:t>
      </w:r>
      <w:r w:rsidRPr="002F6B28">
        <w:rPr>
          <w:rFonts w:ascii="Times New Roman" w:hAnsi="Times New Roman"/>
          <w:b/>
          <w:color w:val="000000"/>
          <w:sz w:val="24"/>
          <w:szCs w:val="24"/>
        </w:rPr>
        <w:t xml:space="preserve">week of 2020; a total of 176 weeks). The horizontal line represents the mean value, and the hollow circle represents the value for each week. </w:t>
      </w:r>
    </w:p>
    <w:p w14:paraId="14F3DAA3" w14:textId="77777777" w:rsidR="00FB0B11" w:rsidRPr="008B1639" w:rsidRDefault="00FB0B11" w:rsidP="00FB0B11">
      <w:pPr>
        <w:wordWrap/>
        <w:spacing w:line="240" w:lineRule="auto"/>
        <w:rPr>
          <w:rFonts w:ascii="Times New Roman" w:eastAsia="Times New Roman" w:hAnsi="Times New Roman"/>
          <w:b/>
          <w:sz w:val="24"/>
          <w:szCs w:val="24"/>
        </w:rPr>
      </w:pPr>
      <w:r w:rsidRPr="002B7F2C">
        <w:rPr>
          <w:rFonts w:ascii="Times New Roman" w:hAnsi="Times New Roman"/>
          <w:sz w:val="24"/>
          <w:szCs w:val="24"/>
        </w:rPr>
        <w:t>PCR, Polymerase chain reaction</w:t>
      </w:r>
    </w:p>
    <w:p w14:paraId="28727630" w14:textId="77777777" w:rsidR="00FB0B11" w:rsidRDefault="00FB0B11" w:rsidP="00FB0B11">
      <w:pPr>
        <w:wordWrap/>
        <w:spacing w:line="240" w:lineRule="auto"/>
        <w:rPr>
          <w:rFonts w:ascii="Times New Roman" w:hAnsi="Times New Roman"/>
          <w:sz w:val="24"/>
          <w:szCs w:val="24"/>
        </w:rPr>
      </w:pPr>
    </w:p>
    <w:p w14:paraId="67CD5E33" w14:textId="5DB1D33A" w:rsidR="00FB0B11" w:rsidRPr="00FB0B11" w:rsidRDefault="00FB0B11" w:rsidP="00FB0B11">
      <w:pPr>
        <w:wordWrap/>
        <w:spacing w:line="240" w:lineRule="auto"/>
        <w:rPr>
          <w:rFonts w:eastAsiaTheme="minorHAnsi"/>
          <w:i/>
          <w:iCs/>
          <w:sz w:val="24"/>
          <w:szCs w:val="24"/>
        </w:rPr>
      </w:pPr>
      <w:r w:rsidRPr="00FB0B11">
        <w:rPr>
          <w:rFonts w:eastAsiaTheme="minorHAnsi" w:hint="eastAsia"/>
          <w:i/>
          <w:iCs/>
          <w:sz w:val="24"/>
          <w:szCs w:val="24"/>
        </w:rPr>
        <w:t>T</w:t>
      </w:r>
      <w:r w:rsidRPr="00FB0B11">
        <w:rPr>
          <w:rFonts w:eastAsiaTheme="minorHAnsi"/>
          <w:i/>
          <w:iCs/>
          <w:sz w:val="24"/>
          <w:szCs w:val="24"/>
        </w:rPr>
        <w:t>o)</w:t>
      </w:r>
      <w:r>
        <w:rPr>
          <w:rFonts w:eastAsiaTheme="minorHAnsi"/>
          <w:i/>
          <w:iCs/>
          <w:sz w:val="24"/>
          <w:szCs w:val="24"/>
        </w:rPr>
        <w:t xml:space="preserve"> The 3</w:t>
      </w:r>
      <w:r w:rsidRPr="00FB0B11">
        <w:rPr>
          <w:rFonts w:eastAsiaTheme="minorHAnsi"/>
          <w:i/>
          <w:iCs/>
          <w:sz w:val="24"/>
          <w:szCs w:val="24"/>
          <w:vertAlign w:val="superscript"/>
        </w:rPr>
        <w:t>rd</w:t>
      </w:r>
      <w:r>
        <w:rPr>
          <w:rFonts w:eastAsiaTheme="minorHAnsi"/>
          <w:i/>
          <w:iCs/>
          <w:sz w:val="24"/>
          <w:szCs w:val="24"/>
        </w:rPr>
        <w:t xml:space="preserve"> paragraph of the results </w:t>
      </w:r>
    </w:p>
    <w:p w14:paraId="7B0E6EE4" w14:textId="77777777" w:rsidR="00FB0B11" w:rsidRPr="000E1791" w:rsidRDefault="00FB0B11" w:rsidP="00FB0B11">
      <w:pPr>
        <w:wordWrap/>
        <w:spacing w:line="240" w:lineRule="auto"/>
        <w:ind w:firstLine="800"/>
        <w:jc w:val="left"/>
        <w:rPr>
          <w:rFonts w:ascii="Times New Roman" w:hAnsi="Times New Roman"/>
          <w:strike/>
          <w:sz w:val="24"/>
          <w:szCs w:val="24"/>
        </w:rPr>
      </w:pPr>
      <w:r w:rsidRPr="002B7F2C">
        <w:rPr>
          <w:rFonts w:ascii="Times New Roman" w:hAnsi="Times New Roman"/>
          <w:sz w:val="24"/>
          <w:szCs w:val="24"/>
        </w:rPr>
        <w:t xml:space="preserve">The more stringent the level of social distancing, the higher was the proportion of negative </w:t>
      </w:r>
      <w:r w:rsidRPr="007E004B">
        <w:rPr>
          <w:rFonts w:ascii="Times New Roman" w:hAnsi="Times New Roman"/>
          <w:sz w:val="24"/>
          <w:szCs w:val="24"/>
        </w:rPr>
        <w:t>respiratory virus</w:t>
      </w:r>
      <w:r w:rsidRPr="002B7F2C" w:rsidDel="00E875F0">
        <w:rPr>
          <w:rFonts w:ascii="Times New Roman" w:hAnsi="Times New Roman"/>
          <w:sz w:val="24"/>
          <w:szCs w:val="24"/>
        </w:rPr>
        <w:t xml:space="preserve"> </w:t>
      </w:r>
      <w:r w:rsidRPr="002B7F2C">
        <w:rPr>
          <w:rFonts w:ascii="Times New Roman" w:hAnsi="Times New Roman"/>
          <w:sz w:val="24"/>
          <w:szCs w:val="24"/>
        </w:rPr>
        <w:t xml:space="preserve">PCR test results </w:t>
      </w:r>
      <w:r w:rsidRPr="006E39B7">
        <w:rPr>
          <w:rFonts w:ascii="Times New Roman" w:hAnsi="Times New Roman"/>
          <w:sz w:val="24"/>
          <w:szCs w:val="24"/>
          <w:highlight w:val="yellow"/>
        </w:rPr>
        <w:t xml:space="preserve">as shown </w:t>
      </w:r>
      <w:r w:rsidRPr="006E39B7">
        <w:rPr>
          <w:rFonts w:ascii="Times New Roman" w:hAnsi="Times New Roman" w:hint="eastAsia"/>
          <w:sz w:val="24"/>
          <w:szCs w:val="24"/>
          <w:highlight w:val="yellow"/>
        </w:rPr>
        <w:t>in</w:t>
      </w:r>
      <w:r w:rsidRPr="006E39B7">
        <w:rPr>
          <w:rFonts w:ascii="Times New Roman" w:hAnsi="Times New Roman"/>
          <w:sz w:val="24"/>
          <w:szCs w:val="24"/>
          <w:highlight w:val="yellow"/>
        </w:rPr>
        <w:t xml:space="preserve"> the left graph of Figure 2</w:t>
      </w:r>
      <w:r>
        <w:rPr>
          <w:rFonts w:ascii="Times New Roman" w:hAnsi="Times New Roman"/>
          <w:sz w:val="24"/>
          <w:szCs w:val="24"/>
        </w:rPr>
        <w:t xml:space="preserve"> </w:t>
      </w:r>
      <w:r w:rsidRPr="002B7F2C">
        <w:rPr>
          <w:rFonts w:ascii="Times New Roman" w:hAnsi="Times New Roman"/>
          <w:sz w:val="24"/>
          <w:szCs w:val="24"/>
        </w:rPr>
        <w:t>(</w:t>
      </w:r>
      <w:r w:rsidRPr="002B7F2C">
        <w:rPr>
          <w:rFonts w:ascii="Times New Roman" w:hAnsi="Times New Roman"/>
          <w:i/>
          <w:iCs/>
          <w:sz w:val="24"/>
          <w:szCs w:val="24"/>
        </w:rPr>
        <w:t>P</w:t>
      </w:r>
      <w:r w:rsidRPr="002B7F2C">
        <w:rPr>
          <w:rFonts w:ascii="Times New Roman" w:hAnsi="Times New Roman"/>
          <w:sz w:val="24"/>
          <w:szCs w:val="24"/>
        </w:rPr>
        <w:t xml:space="preserve"> &lt; 0.001 using the Kruskal-Wallis test; the results of post hoc comparisons </w:t>
      </w:r>
      <w:r w:rsidRPr="002F6B28">
        <w:rPr>
          <w:rFonts w:ascii="Times New Roman" w:hAnsi="Times New Roman"/>
          <w:color w:val="000000"/>
          <w:sz w:val="24"/>
          <w:szCs w:val="24"/>
        </w:rPr>
        <w:t xml:space="preserve">using Mann-Whitney </w:t>
      </w:r>
      <w:r w:rsidRPr="002F6B28">
        <w:rPr>
          <w:rFonts w:ascii="Times New Roman" w:hAnsi="Times New Roman"/>
          <w:i/>
          <w:iCs/>
          <w:color w:val="000000"/>
          <w:sz w:val="24"/>
          <w:szCs w:val="24"/>
        </w:rPr>
        <w:t>U</w:t>
      </w:r>
      <w:r w:rsidRPr="002F6B28">
        <w:rPr>
          <w:rFonts w:ascii="Times New Roman" w:hAnsi="Times New Roman"/>
          <w:color w:val="000000"/>
          <w:sz w:val="24"/>
          <w:szCs w:val="24"/>
        </w:rPr>
        <w:t xml:space="preserve"> test with Bonferroni correction</w:t>
      </w:r>
      <w:r>
        <w:rPr>
          <w:rFonts w:ascii="Times New Roman" w:hAnsi="Times New Roman"/>
          <w:color w:val="FF0000"/>
          <w:sz w:val="24"/>
          <w:szCs w:val="24"/>
        </w:rPr>
        <w:t xml:space="preserve"> </w:t>
      </w:r>
      <w:r w:rsidRPr="002B7F2C">
        <w:rPr>
          <w:rFonts w:ascii="Times New Roman" w:hAnsi="Times New Roman"/>
          <w:sz w:val="24"/>
          <w:szCs w:val="24"/>
        </w:rPr>
        <w:t>are presented in Table</w:t>
      </w:r>
      <w:r>
        <w:rPr>
          <w:rFonts w:ascii="Times New Roman" w:hAnsi="Times New Roman"/>
          <w:sz w:val="24"/>
          <w:szCs w:val="24"/>
        </w:rPr>
        <w:t xml:space="preserve"> 2</w:t>
      </w:r>
      <w:r w:rsidRPr="002B7F2C">
        <w:rPr>
          <w:rFonts w:ascii="Times New Roman" w:hAnsi="Times New Roman"/>
          <w:sz w:val="24"/>
          <w:szCs w:val="24"/>
        </w:rPr>
        <w:t xml:space="preserve">). </w:t>
      </w:r>
      <w:r w:rsidRPr="006E39B7">
        <w:rPr>
          <w:rFonts w:ascii="Times New Roman" w:hAnsi="Times New Roman"/>
          <w:sz w:val="24"/>
          <w:szCs w:val="24"/>
          <w:highlight w:val="yellow"/>
        </w:rPr>
        <w:t>However, this dose-response relationship was not observed between the level of social distancing and the number of respiratory virus PCR test as shown in the right graph of Figure 2</w:t>
      </w:r>
      <w:r w:rsidRPr="000E1791">
        <w:rPr>
          <w:rFonts w:ascii="Times New Roman" w:hAnsi="Times New Roman"/>
          <w:sz w:val="24"/>
          <w:szCs w:val="24"/>
        </w:rPr>
        <w:t>, although t</w:t>
      </w:r>
      <w:r w:rsidRPr="002B7F2C">
        <w:rPr>
          <w:rFonts w:ascii="Times New Roman" w:hAnsi="Times New Roman"/>
          <w:sz w:val="24"/>
          <w:szCs w:val="24"/>
        </w:rPr>
        <w:t xml:space="preserve">he number was significantly different between the periods with and without social distancing </w:t>
      </w:r>
      <w:r w:rsidRPr="002F6B28">
        <w:rPr>
          <w:rFonts w:ascii="Times New Roman" w:hAnsi="Times New Roman"/>
          <w:color w:val="000000"/>
          <w:sz w:val="24"/>
          <w:szCs w:val="24"/>
        </w:rPr>
        <w:t xml:space="preserve">– adjusted </w:t>
      </w:r>
      <w:r w:rsidRPr="002F6B28">
        <w:rPr>
          <w:rFonts w:ascii="Times New Roman" w:hAnsi="Times New Roman"/>
          <w:i/>
          <w:iCs/>
          <w:color w:val="000000"/>
          <w:sz w:val="24"/>
          <w:szCs w:val="24"/>
        </w:rPr>
        <w:t>P</w:t>
      </w:r>
      <w:r w:rsidRPr="002F6B28">
        <w:rPr>
          <w:rFonts w:ascii="Times New Roman" w:hAnsi="Times New Roman"/>
          <w:color w:val="000000"/>
          <w:sz w:val="24"/>
          <w:szCs w:val="24"/>
        </w:rPr>
        <w:t xml:space="preserve"> value is &lt;0.001 when comparing the “no social distancing group” and the level 1, 2, and 3 social distancing group, respectively (Table 2).</w:t>
      </w:r>
      <w:r>
        <w:rPr>
          <w:rFonts w:ascii="Times New Roman" w:hAnsi="Times New Roman"/>
          <w:sz w:val="24"/>
          <w:szCs w:val="24"/>
        </w:rPr>
        <w:t xml:space="preserve"> </w:t>
      </w:r>
    </w:p>
    <w:p w14:paraId="73C1284C" w14:textId="77777777" w:rsidR="00FB0B11" w:rsidRPr="008B1639" w:rsidRDefault="00FB0B11" w:rsidP="00FB0B11">
      <w:pPr>
        <w:wordWrap/>
        <w:spacing w:line="240" w:lineRule="auto"/>
        <w:rPr>
          <w:rFonts w:ascii="Times New Roman" w:eastAsia="Times New Roman" w:hAnsi="Times New Roman"/>
          <w:b/>
          <w:sz w:val="24"/>
          <w:szCs w:val="24"/>
        </w:rPr>
      </w:pPr>
      <w:r w:rsidRPr="002F6B28">
        <w:rPr>
          <w:rFonts w:ascii="Times New Roman" w:eastAsia="Times New Roman" w:hAnsi="Times New Roman"/>
          <w:b/>
          <w:color w:val="000000"/>
          <w:sz w:val="24"/>
          <w:szCs w:val="24"/>
        </w:rPr>
        <w:lastRenderedPageBreak/>
        <w:t>Fig 2. Mean proportion of negative respiratory virus PCR test results according to the level of social distancing (</w:t>
      </w:r>
      <w:r w:rsidRPr="002F6B28">
        <w:rPr>
          <w:rFonts w:ascii="Times New Roman" w:hAnsi="Times New Roman"/>
          <w:b/>
          <w:color w:val="000000"/>
          <w:sz w:val="24"/>
          <w:szCs w:val="24"/>
        </w:rPr>
        <w:t xml:space="preserve">between the 1st week of 2015 and the 42nd week of 2020; a total of 303 weeks) </w:t>
      </w:r>
      <w:r w:rsidRPr="002F6B28">
        <w:rPr>
          <w:rFonts w:ascii="Times New Roman" w:eastAsia="Times New Roman" w:hAnsi="Times New Roman"/>
          <w:b/>
          <w:color w:val="000000"/>
          <w:sz w:val="24"/>
          <w:szCs w:val="24"/>
        </w:rPr>
        <w:t>and the mean number of respiratory virus tests according to the level of social distancing (</w:t>
      </w:r>
      <w:r w:rsidRPr="002F6B28">
        <w:rPr>
          <w:rFonts w:ascii="Times New Roman" w:hAnsi="Times New Roman"/>
          <w:b/>
          <w:color w:val="000000"/>
          <w:sz w:val="24"/>
          <w:szCs w:val="24"/>
        </w:rPr>
        <w:t>between the 23rd week of 2017 and the 39th</w:t>
      </w:r>
      <w:r w:rsidRPr="002F6B28">
        <w:rPr>
          <w:rFonts w:ascii="Times New Roman" w:hAnsi="Times New Roman"/>
          <w:b/>
          <w:color w:val="000000"/>
          <w:sz w:val="24"/>
          <w:szCs w:val="24"/>
          <w:vertAlign w:val="superscript"/>
        </w:rPr>
        <w:t xml:space="preserve"> </w:t>
      </w:r>
      <w:r w:rsidRPr="002F6B28">
        <w:rPr>
          <w:rFonts w:ascii="Times New Roman" w:hAnsi="Times New Roman"/>
          <w:b/>
          <w:color w:val="000000"/>
          <w:sz w:val="24"/>
          <w:szCs w:val="24"/>
        </w:rPr>
        <w:t xml:space="preserve">week of 2020; a total of 176 weeks). </w:t>
      </w:r>
      <w:r w:rsidRPr="000E1791">
        <w:rPr>
          <w:rFonts w:ascii="Times New Roman" w:hAnsi="Times New Roman"/>
          <w:bCs/>
          <w:color w:val="000000"/>
          <w:sz w:val="24"/>
          <w:szCs w:val="24"/>
        </w:rPr>
        <w:t>The horizontal line represents the mean value, and the hollow circle represents the value for each week.</w:t>
      </w:r>
      <w:r w:rsidRPr="002F6B28">
        <w:rPr>
          <w:rFonts w:ascii="Times New Roman" w:hAnsi="Times New Roman"/>
          <w:b/>
          <w:color w:val="000000"/>
          <w:sz w:val="24"/>
          <w:szCs w:val="24"/>
        </w:rPr>
        <w:t xml:space="preserve"> </w:t>
      </w:r>
      <w:r w:rsidRPr="002B7F2C">
        <w:rPr>
          <w:rFonts w:ascii="Times New Roman" w:hAnsi="Times New Roman"/>
          <w:sz w:val="24"/>
          <w:szCs w:val="24"/>
        </w:rPr>
        <w:t>PCR, Polymerase chain reaction</w:t>
      </w:r>
    </w:p>
    <w:p w14:paraId="1C5B77E6" w14:textId="77777777" w:rsidR="00FB0B11" w:rsidRDefault="00FB0B11" w:rsidP="00FB0B11">
      <w:pPr>
        <w:wordWrap/>
        <w:spacing w:line="240" w:lineRule="auto"/>
        <w:rPr>
          <w:rFonts w:ascii="Times New Roman" w:hAnsi="Times New Roman"/>
          <w:sz w:val="24"/>
          <w:szCs w:val="24"/>
        </w:rPr>
      </w:pPr>
    </w:p>
    <w:p w14:paraId="05C32972" w14:textId="77777777" w:rsidR="00FB0B11" w:rsidRDefault="00FB0B11" w:rsidP="00FB0B11">
      <w:pPr>
        <w:wordWrap/>
        <w:spacing w:line="240" w:lineRule="auto"/>
        <w:rPr>
          <w:rFonts w:ascii="Times New Roman" w:hAnsi="Times New Roman"/>
          <w:sz w:val="24"/>
          <w:szCs w:val="24"/>
        </w:rPr>
      </w:pPr>
    </w:p>
    <w:p w14:paraId="4F28273E" w14:textId="77777777" w:rsidR="00FB0B11" w:rsidRDefault="00FB0B11" w:rsidP="00FB0B11">
      <w:pPr>
        <w:wordWrap/>
        <w:spacing w:line="240" w:lineRule="auto"/>
        <w:rPr>
          <w:rFonts w:ascii="Times New Roman" w:hAnsi="Times New Roman"/>
          <w:sz w:val="24"/>
          <w:szCs w:val="24"/>
        </w:rPr>
      </w:pPr>
    </w:p>
    <w:p w14:paraId="5CCD7ED7" w14:textId="77777777" w:rsidR="00FB0B11" w:rsidRDefault="00FB0B11" w:rsidP="00FB0B11">
      <w:pPr>
        <w:wordWrap/>
        <w:spacing w:line="240" w:lineRule="auto"/>
        <w:rPr>
          <w:rFonts w:ascii="Times New Roman" w:hAnsi="Times New Roman"/>
          <w:sz w:val="24"/>
          <w:szCs w:val="24"/>
        </w:rPr>
      </w:pPr>
    </w:p>
    <w:p w14:paraId="4BE9EDD5" w14:textId="676DF7A5" w:rsidR="00FB0B11" w:rsidRDefault="00FB0B11" w:rsidP="00FB0B11">
      <w:pPr>
        <w:wordWrap/>
        <w:spacing w:line="240" w:lineRule="auto"/>
        <w:rPr>
          <w:rFonts w:ascii="Times New Roman" w:hAnsi="Times New Roman"/>
          <w:sz w:val="24"/>
          <w:szCs w:val="24"/>
        </w:rPr>
      </w:pPr>
    </w:p>
    <w:p w14:paraId="00C27140" w14:textId="3E7F64D7" w:rsidR="006E39B7" w:rsidRDefault="006E39B7" w:rsidP="00FB0B11">
      <w:pPr>
        <w:wordWrap/>
        <w:spacing w:line="240" w:lineRule="auto"/>
        <w:rPr>
          <w:rFonts w:ascii="Times New Roman" w:hAnsi="Times New Roman"/>
          <w:sz w:val="24"/>
          <w:szCs w:val="24"/>
        </w:rPr>
      </w:pPr>
    </w:p>
    <w:p w14:paraId="384C559D" w14:textId="637D2E3E" w:rsidR="006E39B7" w:rsidRDefault="006E39B7" w:rsidP="00FB0B11">
      <w:pPr>
        <w:wordWrap/>
        <w:spacing w:line="240" w:lineRule="auto"/>
        <w:rPr>
          <w:rFonts w:ascii="Times New Roman" w:hAnsi="Times New Roman"/>
          <w:sz w:val="24"/>
          <w:szCs w:val="24"/>
        </w:rPr>
      </w:pPr>
    </w:p>
    <w:p w14:paraId="5463E1EE" w14:textId="16DF4666" w:rsidR="006E39B7" w:rsidRDefault="006E39B7" w:rsidP="00FB0B11">
      <w:pPr>
        <w:wordWrap/>
        <w:spacing w:line="240" w:lineRule="auto"/>
        <w:rPr>
          <w:rFonts w:ascii="Times New Roman" w:hAnsi="Times New Roman"/>
          <w:sz w:val="24"/>
          <w:szCs w:val="24"/>
        </w:rPr>
      </w:pPr>
    </w:p>
    <w:p w14:paraId="0E9C6FDB" w14:textId="227BCBE6" w:rsidR="006E39B7" w:rsidRDefault="006E39B7" w:rsidP="00FB0B11">
      <w:pPr>
        <w:wordWrap/>
        <w:spacing w:line="240" w:lineRule="auto"/>
        <w:rPr>
          <w:rFonts w:ascii="Times New Roman" w:hAnsi="Times New Roman"/>
          <w:sz w:val="24"/>
          <w:szCs w:val="24"/>
        </w:rPr>
      </w:pPr>
    </w:p>
    <w:p w14:paraId="0249F7E5" w14:textId="6AB7CEA7" w:rsidR="006E39B7" w:rsidRDefault="006E39B7" w:rsidP="00FB0B11">
      <w:pPr>
        <w:wordWrap/>
        <w:spacing w:line="240" w:lineRule="auto"/>
        <w:rPr>
          <w:rFonts w:ascii="Times New Roman" w:hAnsi="Times New Roman"/>
          <w:sz w:val="24"/>
          <w:szCs w:val="24"/>
        </w:rPr>
      </w:pPr>
    </w:p>
    <w:p w14:paraId="287FBAEF" w14:textId="47331A45" w:rsidR="006E39B7" w:rsidRDefault="006E39B7" w:rsidP="00FB0B11">
      <w:pPr>
        <w:wordWrap/>
        <w:spacing w:line="240" w:lineRule="auto"/>
        <w:rPr>
          <w:rFonts w:ascii="Times New Roman" w:hAnsi="Times New Roman"/>
          <w:sz w:val="24"/>
          <w:szCs w:val="24"/>
        </w:rPr>
      </w:pPr>
    </w:p>
    <w:p w14:paraId="0E83B2CB" w14:textId="6D6ED489" w:rsidR="006E39B7" w:rsidRDefault="006E39B7" w:rsidP="00FB0B11">
      <w:pPr>
        <w:wordWrap/>
        <w:spacing w:line="240" w:lineRule="auto"/>
        <w:rPr>
          <w:rFonts w:ascii="Times New Roman" w:hAnsi="Times New Roman"/>
          <w:sz w:val="24"/>
          <w:szCs w:val="24"/>
        </w:rPr>
      </w:pPr>
    </w:p>
    <w:p w14:paraId="4FDC6DDA" w14:textId="566F1531" w:rsidR="006E39B7" w:rsidRDefault="006E39B7" w:rsidP="00FB0B11">
      <w:pPr>
        <w:wordWrap/>
        <w:spacing w:line="240" w:lineRule="auto"/>
        <w:rPr>
          <w:rFonts w:ascii="Times New Roman" w:hAnsi="Times New Roman"/>
          <w:sz w:val="24"/>
          <w:szCs w:val="24"/>
        </w:rPr>
      </w:pPr>
    </w:p>
    <w:p w14:paraId="7E8CE033" w14:textId="7D81F7D7" w:rsidR="006E39B7" w:rsidRDefault="006E39B7" w:rsidP="00FB0B11">
      <w:pPr>
        <w:wordWrap/>
        <w:spacing w:line="240" w:lineRule="auto"/>
        <w:rPr>
          <w:rFonts w:ascii="Times New Roman" w:hAnsi="Times New Roman"/>
          <w:sz w:val="24"/>
          <w:szCs w:val="24"/>
        </w:rPr>
      </w:pPr>
    </w:p>
    <w:p w14:paraId="7E0DE1EC" w14:textId="75A10D72" w:rsidR="006E39B7" w:rsidRDefault="006E39B7" w:rsidP="00FB0B11">
      <w:pPr>
        <w:wordWrap/>
        <w:spacing w:line="240" w:lineRule="auto"/>
        <w:rPr>
          <w:rFonts w:ascii="Times New Roman" w:hAnsi="Times New Roman"/>
          <w:sz w:val="24"/>
          <w:szCs w:val="24"/>
        </w:rPr>
      </w:pPr>
    </w:p>
    <w:p w14:paraId="3E8DD237" w14:textId="61C64EF0" w:rsidR="006E39B7" w:rsidRDefault="006E39B7" w:rsidP="00FB0B11">
      <w:pPr>
        <w:wordWrap/>
        <w:spacing w:line="240" w:lineRule="auto"/>
        <w:rPr>
          <w:rFonts w:ascii="Times New Roman" w:hAnsi="Times New Roman"/>
          <w:sz w:val="24"/>
          <w:szCs w:val="24"/>
        </w:rPr>
      </w:pPr>
    </w:p>
    <w:p w14:paraId="0FCF278E" w14:textId="192D2850" w:rsidR="006E39B7" w:rsidRDefault="006E39B7" w:rsidP="00FB0B11">
      <w:pPr>
        <w:wordWrap/>
        <w:spacing w:line="240" w:lineRule="auto"/>
        <w:rPr>
          <w:rFonts w:ascii="Times New Roman" w:hAnsi="Times New Roman"/>
          <w:sz w:val="24"/>
          <w:szCs w:val="24"/>
        </w:rPr>
      </w:pPr>
    </w:p>
    <w:p w14:paraId="7470419A" w14:textId="1191A829" w:rsidR="006E39B7" w:rsidRDefault="006E39B7" w:rsidP="00FB0B11">
      <w:pPr>
        <w:wordWrap/>
        <w:spacing w:line="240" w:lineRule="auto"/>
        <w:rPr>
          <w:rFonts w:ascii="Times New Roman" w:hAnsi="Times New Roman"/>
          <w:sz w:val="24"/>
          <w:szCs w:val="24"/>
        </w:rPr>
      </w:pPr>
    </w:p>
    <w:p w14:paraId="1BECE013" w14:textId="695CEEB3" w:rsidR="006E39B7" w:rsidRDefault="006E39B7" w:rsidP="00FB0B11">
      <w:pPr>
        <w:wordWrap/>
        <w:spacing w:line="240" w:lineRule="auto"/>
        <w:rPr>
          <w:rFonts w:ascii="Times New Roman" w:hAnsi="Times New Roman"/>
          <w:sz w:val="24"/>
          <w:szCs w:val="24"/>
        </w:rPr>
      </w:pPr>
    </w:p>
    <w:p w14:paraId="2D3E32E7" w14:textId="463394A5" w:rsidR="006E39B7" w:rsidRDefault="006E39B7" w:rsidP="00FB0B11">
      <w:pPr>
        <w:wordWrap/>
        <w:spacing w:line="240" w:lineRule="auto"/>
        <w:rPr>
          <w:rFonts w:ascii="Times New Roman" w:hAnsi="Times New Roman"/>
          <w:sz w:val="24"/>
          <w:szCs w:val="24"/>
        </w:rPr>
      </w:pPr>
    </w:p>
    <w:p w14:paraId="43DA57C8" w14:textId="2A666554" w:rsidR="006E39B7" w:rsidRDefault="006E39B7" w:rsidP="00FB0B11">
      <w:pPr>
        <w:wordWrap/>
        <w:spacing w:line="240" w:lineRule="auto"/>
        <w:rPr>
          <w:rFonts w:ascii="Times New Roman" w:hAnsi="Times New Roman"/>
          <w:sz w:val="24"/>
          <w:szCs w:val="24"/>
        </w:rPr>
      </w:pPr>
    </w:p>
    <w:p w14:paraId="354A20E8" w14:textId="77DD3281" w:rsidR="006E39B7" w:rsidRDefault="006E39B7" w:rsidP="00FB0B11">
      <w:pPr>
        <w:wordWrap/>
        <w:spacing w:line="240" w:lineRule="auto"/>
        <w:rPr>
          <w:rFonts w:ascii="Times New Roman" w:hAnsi="Times New Roman"/>
          <w:sz w:val="24"/>
          <w:szCs w:val="24"/>
        </w:rPr>
      </w:pPr>
    </w:p>
    <w:p w14:paraId="7BE770FA" w14:textId="78E6193C" w:rsidR="006E39B7" w:rsidRDefault="006E39B7" w:rsidP="00FB0B11">
      <w:pPr>
        <w:wordWrap/>
        <w:spacing w:line="240" w:lineRule="auto"/>
        <w:rPr>
          <w:rFonts w:ascii="Times New Roman" w:hAnsi="Times New Roman"/>
          <w:sz w:val="24"/>
          <w:szCs w:val="24"/>
        </w:rPr>
      </w:pPr>
    </w:p>
    <w:p w14:paraId="2E62FAB9" w14:textId="263962A6" w:rsidR="006E39B7" w:rsidRDefault="006E39B7" w:rsidP="00FB0B11">
      <w:pPr>
        <w:wordWrap/>
        <w:spacing w:line="240" w:lineRule="auto"/>
        <w:rPr>
          <w:rFonts w:ascii="Times New Roman" w:hAnsi="Times New Roman"/>
          <w:sz w:val="24"/>
          <w:szCs w:val="24"/>
        </w:rPr>
      </w:pPr>
    </w:p>
    <w:p w14:paraId="028A532C" w14:textId="0FA582CC" w:rsidR="006E39B7" w:rsidRDefault="006E39B7" w:rsidP="00FB0B11">
      <w:pPr>
        <w:wordWrap/>
        <w:spacing w:line="240" w:lineRule="auto"/>
        <w:rPr>
          <w:rFonts w:ascii="Times New Roman" w:hAnsi="Times New Roman"/>
          <w:sz w:val="24"/>
          <w:szCs w:val="24"/>
        </w:rPr>
      </w:pPr>
    </w:p>
    <w:p w14:paraId="5B978E59" w14:textId="603CCCB0" w:rsidR="006E39B7" w:rsidRDefault="006E39B7" w:rsidP="00FB0B11">
      <w:pPr>
        <w:wordWrap/>
        <w:spacing w:line="240" w:lineRule="auto"/>
        <w:rPr>
          <w:rFonts w:ascii="Times New Roman" w:hAnsi="Times New Roman"/>
          <w:sz w:val="24"/>
          <w:szCs w:val="24"/>
        </w:rPr>
      </w:pPr>
    </w:p>
    <w:p w14:paraId="17856C68" w14:textId="77777777" w:rsidR="006E39B7" w:rsidRDefault="006E39B7" w:rsidP="00FB0B11">
      <w:pPr>
        <w:wordWrap/>
        <w:spacing w:line="240" w:lineRule="auto"/>
        <w:rPr>
          <w:rFonts w:ascii="Times New Roman" w:hAnsi="Times New Roman" w:hint="eastAsia"/>
          <w:sz w:val="24"/>
          <w:szCs w:val="24"/>
        </w:rPr>
      </w:pPr>
    </w:p>
    <w:p w14:paraId="3762BC1A" w14:textId="77777777" w:rsidR="006E39B7" w:rsidRDefault="006E39B7" w:rsidP="00FB0B11">
      <w:pPr>
        <w:wordWrap/>
        <w:spacing w:line="240" w:lineRule="auto"/>
        <w:rPr>
          <w:rFonts w:eastAsiaTheme="minorHAnsi"/>
          <w:i/>
          <w:iCs/>
          <w:sz w:val="24"/>
          <w:szCs w:val="24"/>
        </w:rPr>
        <w:sectPr w:rsidR="006E39B7" w:rsidSect="00FB0B11">
          <w:pgSz w:w="11906" w:h="16838"/>
          <w:pgMar w:top="1440" w:right="1440" w:bottom="1440" w:left="1440" w:header="851" w:footer="992" w:gutter="0"/>
          <w:cols w:space="425"/>
          <w:docGrid w:linePitch="360"/>
        </w:sectPr>
      </w:pPr>
    </w:p>
    <w:p w14:paraId="4B680B4E" w14:textId="6FCAA1AB" w:rsidR="00FB0B11" w:rsidRDefault="00FB0B11" w:rsidP="00FB0B11">
      <w:pPr>
        <w:wordWrap/>
        <w:spacing w:line="240" w:lineRule="auto"/>
        <w:rPr>
          <w:rFonts w:eastAsiaTheme="minorHAnsi"/>
          <w:i/>
          <w:iCs/>
          <w:sz w:val="24"/>
          <w:szCs w:val="24"/>
        </w:rPr>
      </w:pPr>
      <w:r w:rsidRPr="00FB0B11">
        <w:rPr>
          <w:rFonts w:eastAsiaTheme="minorHAnsi" w:hint="eastAsia"/>
          <w:i/>
          <w:iCs/>
          <w:sz w:val="24"/>
          <w:szCs w:val="24"/>
        </w:rPr>
        <w:lastRenderedPageBreak/>
        <w:t>F</w:t>
      </w:r>
      <w:r w:rsidRPr="00FB0B11">
        <w:rPr>
          <w:rFonts w:eastAsiaTheme="minorHAnsi"/>
          <w:i/>
          <w:iCs/>
          <w:sz w:val="24"/>
          <w:szCs w:val="24"/>
        </w:rPr>
        <w:t>rom</w:t>
      </w:r>
      <w:r>
        <w:rPr>
          <w:rFonts w:eastAsiaTheme="minorHAnsi"/>
          <w:i/>
          <w:iCs/>
          <w:sz w:val="24"/>
          <w:szCs w:val="24"/>
        </w:rPr>
        <w:t>)</w:t>
      </w:r>
      <w:r w:rsidR="006E39B7">
        <w:rPr>
          <w:rFonts w:eastAsiaTheme="minorHAnsi"/>
          <w:i/>
          <w:iCs/>
          <w:sz w:val="24"/>
          <w:szCs w:val="24"/>
        </w:rPr>
        <w:t xml:space="preserve"> Table 2</w:t>
      </w:r>
    </w:p>
    <w:p w14:paraId="4E7A0E1A" w14:textId="77777777" w:rsidR="00FB0B11" w:rsidRPr="00FB0B11" w:rsidRDefault="00FB0B11" w:rsidP="00FB0B11">
      <w:pPr>
        <w:wordWrap/>
        <w:spacing w:line="240" w:lineRule="auto"/>
        <w:rPr>
          <w:rFonts w:ascii="Times New Roman" w:hAnsi="Times New Roman"/>
          <w:b/>
          <w:sz w:val="16"/>
          <w:szCs w:val="16"/>
        </w:rPr>
      </w:pPr>
      <w:r w:rsidRPr="00FB0B11">
        <w:rPr>
          <w:rFonts w:ascii="Times New Roman" w:hAnsi="Times New Roman"/>
          <w:b/>
          <w:bCs/>
          <w:sz w:val="16"/>
          <w:szCs w:val="16"/>
        </w:rPr>
        <w:t>Table 2.</w:t>
      </w:r>
      <w:r w:rsidRPr="00FB0B11">
        <w:rPr>
          <w:rFonts w:ascii="Times New Roman" w:hAnsi="Times New Roman"/>
          <w:b/>
          <w:sz w:val="16"/>
          <w:szCs w:val="16"/>
        </w:rPr>
        <w:t xml:space="preserve"> Post hoc comparisons of the proportion of negative </w:t>
      </w:r>
      <w:r w:rsidRPr="00FB0B11">
        <w:rPr>
          <w:rFonts w:ascii="Times New Roman" w:hAnsi="Times New Roman"/>
          <w:b/>
          <w:bCs/>
          <w:sz w:val="16"/>
          <w:szCs w:val="16"/>
        </w:rPr>
        <w:t>respiratory virus</w:t>
      </w:r>
      <w:r w:rsidRPr="00FB0B11">
        <w:rPr>
          <w:rFonts w:ascii="Times New Roman" w:hAnsi="Times New Roman"/>
          <w:b/>
          <w:sz w:val="16"/>
          <w:szCs w:val="16"/>
        </w:rPr>
        <w:t xml:space="preserve"> PCR test results and the number of </w:t>
      </w:r>
      <w:r w:rsidRPr="00FB0B11">
        <w:rPr>
          <w:rFonts w:ascii="Times New Roman" w:hAnsi="Times New Roman"/>
          <w:b/>
          <w:bCs/>
          <w:sz w:val="16"/>
          <w:szCs w:val="16"/>
        </w:rPr>
        <w:t>respiratory virus</w:t>
      </w:r>
      <w:r w:rsidRPr="00FB0B11">
        <w:rPr>
          <w:rFonts w:ascii="Times New Roman" w:hAnsi="Times New Roman"/>
          <w:b/>
          <w:sz w:val="16"/>
          <w:szCs w:val="16"/>
        </w:rPr>
        <w:t xml:space="preserve"> PCR tests according to the levels of social distancing (SD) (levels 0, 1, 2, and 3) using the Mann-Whitney </w:t>
      </w:r>
      <w:r w:rsidRPr="00FB0B11">
        <w:rPr>
          <w:rFonts w:ascii="Times New Roman" w:hAnsi="Times New Roman"/>
          <w:b/>
          <w:i/>
          <w:iCs/>
          <w:sz w:val="16"/>
          <w:szCs w:val="16"/>
        </w:rPr>
        <w:t>U</w:t>
      </w:r>
      <w:r w:rsidRPr="00FB0B11">
        <w:rPr>
          <w:rFonts w:ascii="Times New Roman" w:hAnsi="Times New Roman"/>
          <w:b/>
          <w:sz w:val="16"/>
          <w:szCs w:val="16"/>
        </w:rPr>
        <w:t xml:space="preserve"> test with Bonferroni correction.</w:t>
      </w:r>
    </w:p>
    <w:tbl>
      <w:tblPr>
        <w:tblW w:w="12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5"/>
        <w:gridCol w:w="1770"/>
        <w:gridCol w:w="1110"/>
        <w:gridCol w:w="1965"/>
        <w:gridCol w:w="1020"/>
        <w:gridCol w:w="1860"/>
        <w:gridCol w:w="1215"/>
        <w:gridCol w:w="2050"/>
      </w:tblGrid>
      <w:tr w:rsidR="00FB0B11" w:rsidRPr="00FB0B11" w14:paraId="576BB61E" w14:textId="77777777" w:rsidTr="0028063D">
        <w:trPr>
          <w:jc w:val="center"/>
        </w:trPr>
        <w:tc>
          <w:tcPr>
            <w:tcW w:w="5880" w:type="dxa"/>
            <w:gridSpan w:val="4"/>
            <w:tcBorders>
              <w:top w:val="single" w:sz="12" w:space="0" w:color="auto"/>
              <w:left w:val="nil"/>
              <w:bottom w:val="single" w:sz="12" w:space="0" w:color="auto"/>
              <w:right w:val="single" w:sz="12" w:space="0" w:color="auto"/>
            </w:tcBorders>
            <w:shd w:val="clear" w:color="auto" w:fill="auto"/>
          </w:tcPr>
          <w:p w14:paraId="3B7BE04D"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Proportion of negative PCR test results</w:t>
            </w:r>
          </w:p>
        </w:tc>
        <w:tc>
          <w:tcPr>
            <w:tcW w:w="6145" w:type="dxa"/>
            <w:gridSpan w:val="4"/>
            <w:tcBorders>
              <w:top w:val="single" w:sz="12" w:space="0" w:color="auto"/>
              <w:left w:val="single" w:sz="12" w:space="0" w:color="auto"/>
              <w:bottom w:val="single" w:sz="12" w:space="0" w:color="auto"/>
              <w:right w:val="nil"/>
            </w:tcBorders>
            <w:shd w:val="clear" w:color="auto" w:fill="auto"/>
          </w:tcPr>
          <w:p w14:paraId="1A58B02F"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No. of PCR tests</w:t>
            </w:r>
          </w:p>
        </w:tc>
      </w:tr>
      <w:tr w:rsidR="00FB0B11" w:rsidRPr="00FB0B11" w14:paraId="10E40DD2" w14:textId="77777777" w:rsidTr="0028063D">
        <w:trPr>
          <w:jc w:val="center"/>
        </w:trPr>
        <w:tc>
          <w:tcPr>
            <w:tcW w:w="1035" w:type="dxa"/>
            <w:tcBorders>
              <w:top w:val="single" w:sz="12" w:space="0" w:color="auto"/>
              <w:left w:val="nil"/>
              <w:bottom w:val="single" w:sz="12" w:space="0" w:color="auto"/>
              <w:right w:val="nil"/>
            </w:tcBorders>
            <w:shd w:val="clear" w:color="auto" w:fill="auto"/>
          </w:tcPr>
          <w:p w14:paraId="5A367BD5" w14:textId="77777777" w:rsidR="00FB0B11" w:rsidRPr="006E39B7" w:rsidRDefault="00FB0B11" w:rsidP="0028063D">
            <w:pPr>
              <w:wordWrap/>
              <w:spacing w:line="240" w:lineRule="auto"/>
              <w:jc w:val="center"/>
              <w:rPr>
                <w:rFonts w:ascii="Times New Roman" w:hAnsi="Times New Roman"/>
                <w:b/>
                <w:bCs/>
                <w:strike/>
                <w:sz w:val="16"/>
                <w:szCs w:val="16"/>
              </w:rPr>
            </w:pPr>
            <w:r w:rsidRPr="006E39B7">
              <w:rPr>
                <w:rFonts w:ascii="Times New Roman" w:hAnsi="Times New Roman"/>
                <w:b/>
                <w:bCs/>
                <w:strike/>
                <w:sz w:val="16"/>
                <w:szCs w:val="16"/>
              </w:rPr>
              <w:t>Group</w:t>
            </w:r>
          </w:p>
        </w:tc>
        <w:tc>
          <w:tcPr>
            <w:tcW w:w="1770" w:type="dxa"/>
            <w:tcBorders>
              <w:top w:val="single" w:sz="12" w:space="0" w:color="auto"/>
              <w:left w:val="nil"/>
              <w:bottom w:val="single" w:sz="12" w:space="0" w:color="auto"/>
              <w:right w:val="nil"/>
            </w:tcBorders>
            <w:shd w:val="clear" w:color="auto" w:fill="auto"/>
          </w:tcPr>
          <w:p w14:paraId="77397989"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Comparison</w:t>
            </w:r>
          </w:p>
        </w:tc>
        <w:tc>
          <w:tcPr>
            <w:tcW w:w="1110" w:type="dxa"/>
            <w:tcBorders>
              <w:top w:val="single" w:sz="12" w:space="0" w:color="auto"/>
              <w:left w:val="nil"/>
              <w:bottom w:val="single" w:sz="12" w:space="0" w:color="auto"/>
              <w:right w:val="nil"/>
            </w:tcBorders>
            <w:shd w:val="clear" w:color="auto" w:fill="auto"/>
          </w:tcPr>
          <w:p w14:paraId="72F870D5"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i/>
                <w:iCs/>
                <w:sz w:val="16"/>
                <w:szCs w:val="16"/>
              </w:rPr>
              <w:t>P</w:t>
            </w:r>
            <w:r w:rsidRPr="00FB0B11">
              <w:rPr>
                <w:rFonts w:ascii="Times New Roman" w:hAnsi="Times New Roman"/>
                <w:b/>
                <w:bCs/>
                <w:sz w:val="16"/>
                <w:szCs w:val="16"/>
              </w:rPr>
              <w:t xml:space="preserve"> value</w:t>
            </w:r>
          </w:p>
        </w:tc>
        <w:tc>
          <w:tcPr>
            <w:tcW w:w="1965" w:type="dxa"/>
            <w:tcBorders>
              <w:top w:val="single" w:sz="12" w:space="0" w:color="auto"/>
              <w:left w:val="nil"/>
              <w:bottom w:val="single" w:sz="12" w:space="0" w:color="auto"/>
              <w:right w:val="single" w:sz="12" w:space="0" w:color="auto"/>
            </w:tcBorders>
            <w:shd w:val="clear" w:color="auto" w:fill="auto"/>
          </w:tcPr>
          <w:p w14:paraId="400D8328"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 xml:space="preserve">Adjusted </w:t>
            </w:r>
            <w:r w:rsidRPr="00FB0B11">
              <w:rPr>
                <w:rFonts w:ascii="Times New Roman" w:hAnsi="Times New Roman"/>
                <w:b/>
                <w:bCs/>
                <w:i/>
                <w:iCs/>
                <w:sz w:val="16"/>
                <w:szCs w:val="16"/>
              </w:rPr>
              <w:t>P</w:t>
            </w:r>
            <w:r w:rsidRPr="00FB0B11">
              <w:rPr>
                <w:rFonts w:ascii="Times New Roman" w:hAnsi="Times New Roman"/>
                <w:b/>
                <w:bCs/>
                <w:sz w:val="16"/>
                <w:szCs w:val="16"/>
              </w:rPr>
              <w:t xml:space="preserve"> value</w:t>
            </w:r>
          </w:p>
        </w:tc>
        <w:tc>
          <w:tcPr>
            <w:tcW w:w="1020" w:type="dxa"/>
            <w:tcBorders>
              <w:top w:val="single" w:sz="12" w:space="0" w:color="auto"/>
              <w:left w:val="single" w:sz="12" w:space="0" w:color="auto"/>
              <w:bottom w:val="single" w:sz="12" w:space="0" w:color="auto"/>
              <w:right w:val="nil"/>
            </w:tcBorders>
            <w:shd w:val="clear" w:color="auto" w:fill="auto"/>
          </w:tcPr>
          <w:p w14:paraId="616D5F09" w14:textId="77777777" w:rsidR="00FB0B11" w:rsidRPr="006E39B7" w:rsidRDefault="00FB0B11" w:rsidP="0028063D">
            <w:pPr>
              <w:wordWrap/>
              <w:spacing w:line="240" w:lineRule="auto"/>
              <w:jc w:val="center"/>
              <w:rPr>
                <w:rFonts w:ascii="Times New Roman" w:hAnsi="Times New Roman"/>
                <w:b/>
                <w:bCs/>
                <w:strike/>
                <w:sz w:val="16"/>
                <w:szCs w:val="16"/>
              </w:rPr>
            </w:pPr>
            <w:r w:rsidRPr="006E39B7">
              <w:rPr>
                <w:rFonts w:ascii="Times New Roman" w:hAnsi="Times New Roman"/>
                <w:b/>
                <w:bCs/>
                <w:strike/>
                <w:sz w:val="16"/>
                <w:szCs w:val="16"/>
              </w:rPr>
              <w:t>Group</w:t>
            </w:r>
          </w:p>
        </w:tc>
        <w:tc>
          <w:tcPr>
            <w:tcW w:w="1860" w:type="dxa"/>
            <w:tcBorders>
              <w:top w:val="single" w:sz="12" w:space="0" w:color="auto"/>
              <w:left w:val="nil"/>
              <w:bottom w:val="single" w:sz="12" w:space="0" w:color="auto"/>
              <w:right w:val="nil"/>
            </w:tcBorders>
            <w:shd w:val="clear" w:color="auto" w:fill="auto"/>
          </w:tcPr>
          <w:p w14:paraId="3BE3BD61"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Comparison</w:t>
            </w:r>
          </w:p>
        </w:tc>
        <w:tc>
          <w:tcPr>
            <w:tcW w:w="1215" w:type="dxa"/>
            <w:tcBorders>
              <w:top w:val="single" w:sz="12" w:space="0" w:color="auto"/>
              <w:left w:val="nil"/>
              <w:bottom w:val="single" w:sz="12" w:space="0" w:color="auto"/>
              <w:right w:val="nil"/>
            </w:tcBorders>
            <w:shd w:val="clear" w:color="auto" w:fill="auto"/>
          </w:tcPr>
          <w:p w14:paraId="2AE4F54D"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i/>
                <w:iCs/>
                <w:sz w:val="16"/>
                <w:szCs w:val="16"/>
              </w:rPr>
              <w:t>P</w:t>
            </w:r>
            <w:r w:rsidRPr="00FB0B11">
              <w:rPr>
                <w:rFonts w:ascii="Times New Roman" w:hAnsi="Times New Roman"/>
                <w:b/>
                <w:bCs/>
                <w:sz w:val="16"/>
                <w:szCs w:val="16"/>
              </w:rPr>
              <w:t xml:space="preserve"> value</w:t>
            </w:r>
          </w:p>
        </w:tc>
        <w:tc>
          <w:tcPr>
            <w:tcW w:w="2050" w:type="dxa"/>
            <w:tcBorders>
              <w:top w:val="single" w:sz="12" w:space="0" w:color="auto"/>
              <w:left w:val="nil"/>
              <w:bottom w:val="single" w:sz="12" w:space="0" w:color="auto"/>
              <w:right w:val="nil"/>
            </w:tcBorders>
            <w:shd w:val="clear" w:color="auto" w:fill="auto"/>
          </w:tcPr>
          <w:p w14:paraId="2CA35441"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 xml:space="preserve">Adjusted </w:t>
            </w:r>
            <w:r w:rsidRPr="00FB0B11">
              <w:rPr>
                <w:rFonts w:ascii="Times New Roman" w:hAnsi="Times New Roman"/>
                <w:b/>
                <w:bCs/>
                <w:i/>
                <w:iCs/>
                <w:sz w:val="16"/>
                <w:szCs w:val="16"/>
              </w:rPr>
              <w:t>P</w:t>
            </w:r>
            <w:r w:rsidRPr="00FB0B11">
              <w:rPr>
                <w:rFonts w:ascii="Times New Roman" w:hAnsi="Times New Roman"/>
                <w:b/>
                <w:bCs/>
                <w:sz w:val="16"/>
                <w:szCs w:val="16"/>
              </w:rPr>
              <w:t xml:space="preserve"> value</w:t>
            </w:r>
          </w:p>
        </w:tc>
      </w:tr>
      <w:tr w:rsidR="00FB0B11" w:rsidRPr="00FB0B11" w14:paraId="78853DCA" w14:textId="77777777" w:rsidTr="0028063D">
        <w:trPr>
          <w:jc w:val="center"/>
        </w:trPr>
        <w:tc>
          <w:tcPr>
            <w:tcW w:w="1035" w:type="dxa"/>
            <w:tcBorders>
              <w:top w:val="single" w:sz="12" w:space="0" w:color="auto"/>
              <w:left w:val="nil"/>
              <w:bottom w:val="nil"/>
              <w:right w:val="nil"/>
            </w:tcBorders>
            <w:shd w:val="clear" w:color="auto" w:fill="auto"/>
          </w:tcPr>
          <w:p w14:paraId="17F2DA5A"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1</w:t>
            </w:r>
          </w:p>
        </w:tc>
        <w:tc>
          <w:tcPr>
            <w:tcW w:w="1770" w:type="dxa"/>
            <w:tcBorders>
              <w:top w:val="single" w:sz="12" w:space="0" w:color="auto"/>
              <w:left w:val="nil"/>
              <w:bottom w:val="nil"/>
              <w:right w:val="nil"/>
            </w:tcBorders>
            <w:shd w:val="clear" w:color="auto" w:fill="auto"/>
          </w:tcPr>
          <w:p w14:paraId="5AAF76DA"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1</w:t>
            </w:r>
          </w:p>
        </w:tc>
        <w:tc>
          <w:tcPr>
            <w:tcW w:w="1110" w:type="dxa"/>
            <w:tcBorders>
              <w:top w:val="single" w:sz="12" w:space="0" w:color="auto"/>
              <w:left w:val="nil"/>
              <w:bottom w:val="nil"/>
              <w:right w:val="nil"/>
            </w:tcBorders>
            <w:shd w:val="clear" w:color="auto" w:fill="auto"/>
          </w:tcPr>
          <w:p w14:paraId="186F5FF7"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0.051</w:t>
            </w:r>
          </w:p>
        </w:tc>
        <w:tc>
          <w:tcPr>
            <w:tcW w:w="1965" w:type="dxa"/>
            <w:tcBorders>
              <w:top w:val="single" w:sz="12" w:space="0" w:color="auto"/>
              <w:left w:val="nil"/>
              <w:bottom w:val="nil"/>
              <w:right w:val="single" w:sz="12" w:space="0" w:color="auto"/>
            </w:tcBorders>
            <w:shd w:val="clear" w:color="auto" w:fill="auto"/>
          </w:tcPr>
          <w:p w14:paraId="03C1473F"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0.306</w:t>
            </w:r>
          </w:p>
        </w:tc>
        <w:tc>
          <w:tcPr>
            <w:tcW w:w="1020" w:type="dxa"/>
            <w:tcBorders>
              <w:top w:val="single" w:sz="12" w:space="0" w:color="auto"/>
              <w:left w:val="single" w:sz="12" w:space="0" w:color="auto"/>
              <w:bottom w:val="nil"/>
              <w:right w:val="nil"/>
            </w:tcBorders>
            <w:shd w:val="clear" w:color="auto" w:fill="auto"/>
          </w:tcPr>
          <w:p w14:paraId="28D6FE6D"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1</w:t>
            </w:r>
          </w:p>
        </w:tc>
        <w:tc>
          <w:tcPr>
            <w:tcW w:w="1860" w:type="dxa"/>
            <w:tcBorders>
              <w:top w:val="single" w:sz="12" w:space="0" w:color="auto"/>
              <w:left w:val="nil"/>
              <w:bottom w:val="nil"/>
              <w:right w:val="nil"/>
            </w:tcBorders>
            <w:shd w:val="clear" w:color="auto" w:fill="auto"/>
          </w:tcPr>
          <w:p w14:paraId="5AEB5A76"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1</w:t>
            </w:r>
          </w:p>
        </w:tc>
        <w:tc>
          <w:tcPr>
            <w:tcW w:w="1215" w:type="dxa"/>
            <w:tcBorders>
              <w:top w:val="single" w:sz="12" w:space="0" w:color="auto"/>
              <w:left w:val="nil"/>
              <w:bottom w:val="nil"/>
              <w:right w:val="nil"/>
            </w:tcBorders>
            <w:shd w:val="clear" w:color="auto" w:fill="auto"/>
          </w:tcPr>
          <w:p w14:paraId="11FA49EB"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2050" w:type="dxa"/>
            <w:tcBorders>
              <w:top w:val="single" w:sz="12" w:space="0" w:color="auto"/>
              <w:left w:val="nil"/>
              <w:bottom w:val="nil"/>
              <w:right w:val="nil"/>
            </w:tcBorders>
            <w:shd w:val="clear" w:color="auto" w:fill="auto"/>
          </w:tcPr>
          <w:p w14:paraId="49F2892C"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r>
      <w:tr w:rsidR="00FB0B11" w:rsidRPr="00FB0B11" w14:paraId="2A9373E5" w14:textId="77777777" w:rsidTr="0028063D">
        <w:trPr>
          <w:jc w:val="center"/>
        </w:trPr>
        <w:tc>
          <w:tcPr>
            <w:tcW w:w="1035" w:type="dxa"/>
            <w:tcBorders>
              <w:top w:val="nil"/>
              <w:left w:val="nil"/>
              <w:bottom w:val="nil"/>
              <w:right w:val="nil"/>
            </w:tcBorders>
            <w:shd w:val="clear" w:color="auto" w:fill="auto"/>
          </w:tcPr>
          <w:p w14:paraId="2AA0624C"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2</w:t>
            </w:r>
          </w:p>
        </w:tc>
        <w:tc>
          <w:tcPr>
            <w:tcW w:w="1770" w:type="dxa"/>
            <w:tcBorders>
              <w:top w:val="nil"/>
              <w:left w:val="nil"/>
              <w:bottom w:val="nil"/>
              <w:right w:val="nil"/>
            </w:tcBorders>
            <w:shd w:val="clear" w:color="auto" w:fill="auto"/>
          </w:tcPr>
          <w:p w14:paraId="65E7D772"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2</w:t>
            </w:r>
          </w:p>
        </w:tc>
        <w:tc>
          <w:tcPr>
            <w:tcW w:w="1110" w:type="dxa"/>
            <w:tcBorders>
              <w:top w:val="nil"/>
              <w:left w:val="nil"/>
              <w:bottom w:val="nil"/>
              <w:right w:val="nil"/>
            </w:tcBorders>
            <w:shd w:val="clear" w:color="auto" w:fill="auto"/>
          </w:tcPr>
          <w:p w14:paraId="0A412874"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1965" w:type="dxa"/>
            <w:tcBorders>
              <w:top w:val="nil"/>
              <w:left w:val="nil"/>
              <w:bottom w:val="nil"/>
              <w:right w:val="single" w:sz="12" w:space="0" w:color="auto"/>
            </w:tcBorders>
            <w:shd w:val="clear" w:color="auto" w:fill="auto"/>
          </w:tcPr>
          <w:p w14:paraId="00B99D2C"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c>
          <w:tcPr>
            <w:tcW w:w="1020" w:type="dxa"/>
            <w:tcBorders>
              <w:top w:val="nil"/>
              <w:left w:val="single" w:sz="12" w:space="0" w:color="auto"/>
              <w:bottom w:val="nil"/>
              <w:right w:val="nil"/>
            </w:tcBorders>
            <w:shd w:val="clear" w:color="auto" w:fill="auto"/>
          </w:tcPr>
          <w:p w14:paraId="6BCF48D8"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2</w:t>
            </w:r>
          </w:p>
        </w:tc>
        <w:tc>
          <w:tcPr>
            <w:tcW w:w="1860" w:type="dxa"/>
            <w:tcBorders>
              <w:top w:val="nil"/>
              <w:left w:val="nil"/>
              <w:bottom w:val="nil"/>
              <w:right w:val="nil"/>
            </w:tcBorders>
            <w:shd w:val="clear" w:color="auto" w:fill="auto"/>
          </w:tcPr>
          <w:p w14:paraId="0A2A7897"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2</w:t>
            </w:r>
          </w:p>
        </w:tc>
        <w:tc>
          <w:tcPr>
            <w:tcW w:w="1215" w:type="dxa"/>
            <w:tcBorders>
              <w:top w:val="nil"/>
              <w:left w:val="nil"/>
              <w:bottom w:val="nil"/>
              <w:right w:val="nil"/>
            </w:tcBorders>
            <w:shd w:val="clear" w:color="auto" w:fill="auto"/>
          </w:tcPr>
          <w:p w14:paraId="1A60EA16"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2050" w:type="dxa"/>
            <w:tcBorders>
              <w:top w:val="nil"/>
              <w:left w:val="nil"/>
              <w:bottom w:val="nil"/>
              <w:right w:val="nil"/>
            </w:tcBorders>
            <w:shd w:val="clear" w:color="auto" w:fill="auto"/>
          </w:tcPr>
          <w:p w14:paraId="13010E6F"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r>
      <w:tr w:rsidR="00FB0B11" w:rsidRPr="00FB0B11" w14:paraId="3C79B346" w14:textId="77777777" w:rsidTr="0028063D">
        <w:trPr>
          <w:jc w:val="center"/>
        </w:trPr>
        <w:tc>
          <w:tcPr>
            <w:tcW w:w="1035" w:type="dxa"/>
            <w:tcBorders>
              <w:top w:val="nil"/>
              <w:left w:val="nil"/>
              <w:bottom w:val="nil"/>
              <w:right w:val="nil"/>
            </w:tcBorders>
            <w:shd w:val="clear" w:color="auto" w:fill="auto"/>
          </w:tcPr>
          <w:p w14:paraId="75D1DB2D"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3</w:t>
            </w:r>
          </w:p>
        </w:tc>
        <w:tc>
          <w:tcPr>
            <w:tcW w:w="1770" w:type="dxa"/>
            <w:tcBorders>
              <w:top w:val="nil"/>
              <w:left w:val="nil"/>
              <w:bottom w:val="nil"/>
              <w:right w:val="nil"/>
            </w:tcBorders>
            <w:shd w:val="clear" w:color="auto" w:fill="auto"/>
          </w:tcPr>
          <w:p w14:paraId="0ED23607"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3</w:t>
            </w:r>
          </w:p>
        </w:tc>
        <w:tc>
          <w:tcPr>
            <w:tcW w:w="1110" w:type="dxa"/>
            <w:tcBorders>
              <w:top w:val="nil"/>
              <w:left w:val="nil"/>
              <w:bottom w:val="nil"/>
              <w:right w:val="nil"/>
            </w:tcBorders>
            <w:shd w:val="clear" w:color="auto" w:fill="auto"/>
          </w:tcPr>
          <w:p w14:paraId="316F5494"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1965" w:type="dxa"/>
            <w:tcBorders>
              <w:top w:val="nil"/>
              <w:left w:val="nil"/>
              <w:bottom w:val="nil"/>
              <w:right w:val="single" w:sz="12" w:space="0" w:color="auto"/>
            </w:tcBorders>
            <w:shd w:val="clear" w:color="auto" w:fill="auto"/>
          </w:tcPr>
          <w:p w14:paraId="170C87C9"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c>
          <w:tcPr>
            <w:tcW w:w="1020" w:type="dxa"/>
            <w:tcBorders>
              <w:top w:val="nil"/>
              <w:left w:val="single" w:sz="12" w:space="0" w:color="auto"/>
              <w:bottom w:val="nil"/>
              <w:right w:val="nil"/>
            </w:tcBorders>
            <w:shd w:val="clear" w:color="auto" w:fill="auto"/>
          </w:tcPr>
          <w:p w14:paraId="56C1F193"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3</w:t>
            </w:r>
          </w:p>
        </w:tc>
        <w:tc>
          <w:tcPr>
            <w:tcW w:w="1860" w:type="dxa"/>
            <w:tcBorders>
              <w:top w:val="nil"/>
              <w:left w:val="nil"/>
              <w:bottom w:val="nil"/>
              <w:right w:val="nil"/>
            </w:tcBorders>
            <w:shd w:val="clear" w:color="auto" w:fill="auto"/>
          </w:tcPr>
          <w:p w14:paraId="695D8026"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0 vs. 3</w:t>
            </w:r>
          </w:p>
        </w:tc>
        <w:tc>
          <w:tcPr>
            <w:tcW w:w="1215" w:type="dxa"/>
            <w:tcBorders>
              <w:top w:val="nil"/>
              <w:left w:val="nil"/>
              <w:bottom w:val="nil"/>
              <w:right w:val="nil"/>
            </w:tcBorders>
            <w:shd w:val="clear" w:color="auto" w:fill="auto"/>
          </w:tcPr>
          <w:p w14:paraId="430A1349"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2050" w:type="dxa"/>
            <w:tcBorders>
              <w:top w:val="nil"/>
              <w:left w:val="nil"/>
              <w:bottom w:val="nil"/>
              <w:right w:val="nil"/>
            </w:tcBorders>
            <w:shd w:val="clear" w:color="auto" w:fill="auto"/>
          </w:tcPr>
          <w:p w14:paraId="7492BD6B"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r>
      <w:tr w:rsidR="00FB0B11" w:rsidRPr="00FB0B11" w14:paraId="40BC8D90" w14:textId="77777777" w:rsidTr="0028063D">
        <w:trPr>
          <w:jc w:val="center"/>
        </w:trPr>
        <w:tc>
          <w:tcPr>
            <w:tcW w:w="1035" w:type="dxa"/>
            <w:tcBorders>
              <w:top w:val="nil"/>
              <w:left w:val="nil"/>
              <w:bottom w:val="nil"/>
              <w:right w:val="nil"/>
            </w:tcBorders>
            <w:shd w:val="clear" w:color="auto" w:fill="auto"/>
          </w:tcPr>
          <w:p w14:paraId="23DF5295"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4</w:t>
            </w:r>
          </w:p>
        </w:tc>
        <w:tc>
          <w:tcPr>
            <w:tcW w:w="1770" w:type="dxa"/>
            <w:tcBorders>
              <w:top w:val="nil"/>
              <w:left w:val="nil"/>
              <w:bottom w:val="nil"/>
              <w:right w:val="nil"/>
            </w:tcBorders>
            <w:shd w:val="clear" w:color="auto" w:fill="auto"/>
          </w:tcPr>
          <w:p w14:paraId="496FE2EA"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1 vs. 2</w:t>
            </w:r>
          </w:p>
        </w:tc>
        <w:tc>
          <w:tcPr>
            <w:tcW w:w="1110" w:type="dxa"/>
            <w:tcBorders>
              <w:top w:val="nil"/>
              <w:left w:val="nil"/>
              <w:bottom w:val="nil"/>
              <w:right w:val="nil"/>
            </w:tcBorders>
            <w:shd w:val="clear" w:color="auto" w:fill="auto"/>
          </w:tcPr>
          <w:p w14:paraId="6460FB1B"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0.004</w:t>
            </w:r>
          </w:p>
        </w:tc>
        <w:tc>
          <w:tcPr>
            <w:tcW w:w="1965" w:type="dxa"/>
            <w:tcBorders>
              <w:top w:val="nil"/>
              <w:left w:val="nil"/>
              <w:bottom w:val="nil"/>
              <w:right w:val="single" w:sz="12" w:space="0" w:color="auto"/>
            </w:tcBorders>
            <w:shd w:val="clear" w:color="auto" w:fill="auto"/>
          </w:tcPr>
          <w:p w14:paraId="778E1B50"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0.024</w:t>
            </w:r>
          </w:p>
        </w:tc>
        <w:tc>
          <w:tcPr>
            <w:tcW w:w="1020" w:type="dxa"/>
            <w:tcBorders>
              <w:top w:val="nil"/>
              <w:left w:val="single" w:sz="12" w:space="0" w:color="auto"/>
              <w:bottom w:val="nil"/>
              <w:right w:val="nil"/>
            </w:tcBorders>
            <w:shd w:val="clear" w:color="auto" w:fill="auto"/>
          </w:tcPr>
          <w:p w14:paraId="21BACA78"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4</w:t>
            </w:r>
          </w:p>
        </w:tc>
        <w:tc>
          <w:tcPr>
            <w:tcW w:w="1860" w:type="dxa"/>
            <w:tcBorders>
              <w:top w:val="nil"/>
              <w:left w:val="nil"/>
              <w:bottom w:val="nil"/>
              <w:right w:val="nil"/>
            </w:tcBorders>
            <w:shd w:val="clear" w:color="auto" w:fill="auto"/>
          </w:tcPr>
          <w:p w14:paraId="15F6218E"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1 vs. 2</w:t>
            </w:r>
          </w:p>
        </w:tc>
        <w:tc>
          <w:tcPr>
            <w:tcW w:w="1215" w:type="dxa"/>
            <w:tcBorders>
              <w:top w:val="nil"/>
              <w:left w:val="nil"/>
              <w:bottom w:val="nil"/>
              <w:right w:val="nil"/>
            </w:tcBorders>
            <w:shd w:val="clear" w:color="auto" w:fill="auto"/>
          </w:tcPr>
          <w:p w14:paraId="1E7214C3"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0.13</w:t>
            </w:r>
          </w:p>
        </w:tc>
        <w:tc>
          <w:tcPr>
            <w:tcW w:w="2050" w:type="dxa"/>
            <w:tcBorders>
              <w:top w:val="nil"/>
              <w:left w:val="nil"/>
              <w:bottom w:val="nil"/>
              <w:right w:val="nil"/>
            </w:tcBorders>
            <w:shd w:val="clear" w:color="auto" w:fill="auto"/>
          </w:tcPr>
          <w:p w14:paraId="19933DF5"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0.78</w:t>
            </w:r>
          </w:p>
        </w:tc>
      </w:tr>
      <w:tr w:rsidR="00FB0B11" w:rsidRPr="00FB0B11" w14:paraId="44E9429C" w14:textId="77777777" w:rsidTr="0028063D">
        <w:trPr>
          <w:jc w:val="center"/>
        </w:trPr>
        <w:tc>
          <w:tcPr>
            <w:tcW w:w="1035" w:type="dxa"/>
            <w:tcBorders>
              <w:top w:val="nil"/>
              <w:left w:val="nil"/>
              <w:bottom w:val="nil"/>
              <w:right w:val="nil"/>
            </w:tcBorders>
            <w:shd w:val="clear" w:color="auto" w:fill="auto"/>
          </w:tcPr>
          <w:p w14:paraId="1C8F9193"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5</w:t>
            </w:r>
          </w:p>
        </w:tc>
        <w:tc>
          <w:tcPr>
            <w:tcW w:w="1770" w:type="dxa"/>
            <w:tcBorders>
              <w:top w:val="nil"/>
              <w:left w:val="nil"/>
              <w:bottom w:val="nil"/>
              <w:right w:val="nil"/>
            </w:tcBorders>
            <w:shd w:val="clear" w:color="auto" w:fill="auto"/>
          </w:tcPr>
          <w:p w14:paraId="4AD07A16"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1 vs. 3</w:t>
            </w:r>
          </w:p>
        </w:tc>
        <w:tc>
          <w:tcPr>
            <w:tcW w:w="1110" w:type="dxa"/>
            <w:tcBorders>
              <w:top w:val="nil"/>
              <w:left w:val="nil"/>
              <w:bottom w:val="nil"/>
              <w:right w:val="nil"/>
            </w:tcBorders>
            <w:shd w:val="clear" w:color="auto" w:fill="auto"/>
          </w:tcPr>
          <w:p w14:paraId="3AE874FC"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&lt;0.001</w:t>
            </w:r>
          </w:p>
        </w:tc>
        <w:tc>
          <w:tcPr>
            <w:tcW w:w="1965" w:type="dxa"/>
            <w:tcBorders>
              <w:top w:val="nil"/>
              <w:left w:val="nil"/>
              <w:bottom w:val="nil"/>
              <w:right w:val="single" w:sz="12" w:space="0" w:color="auto"/>
            </w:tcBorders>
            <w:shd w:val="clear" w:color="auto" w:fill="auto"/>
          </w:tcPr>
          <w:p w14:paraId="02DCBCF8" w14:textId="77777777" w:rsidR="00FB0B11" w:rsidRPr="00FB0B11" w:rsidRDefault="00FB0B11" w:rsidP="0028063D">
            <w:pPr>
              <w:wordWrap/>
              <w:spacing w:line="240" w:lineRule="auto"/>
              <w:jc w:val="center"/>
              <w:rPr>
                <w:rFonts w:ascii="Times New Roman" w:hAnsi="Times New Roman"/>
                <w:b/>
                <w:bCs/>
                <w:sz w:val="16"/>
                <w:szCs w:val="16"/>
              </w:rPr>
            </w:pPr>
            <w:r w:rsidRPr="00FB0B11">
              <w:rPr>
                <w:rFonts w:ascii="Times New Roman" w:hAnsi="Times New Roman"/>
                <w:b/>
                <w:bCs/>
                <w:sz w:val="16"/>
                <w:szCs w:val="16"/>
              </w:rPr>
              <w:t>&lt;0.001</w:t>
            </w:r>
          </w:p>
        </w:tc>
        <w:tc>
          <w:tcPr>
            <w:tcW w:w="1020" w:type="dxa"/>
            <w:tcBorders>
              <w:top w:val="nil"/>
              <w:left w:val="single" w:sz="12" w:space="0" w:color="auto"/>
              <w:bottom w:val="nil"/>
              <w:right w:val="nil"/>
            </w:tcBorders>
            <w:shd w:val="clear" w:color="auto" w:fill="auto"/>
          </w:tcPr>
          <w:p w14:paraId="694A2C44"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5</w:t>
            </w:r>
          </w:p>
        </w:tc>
        <w:tc>
          <w:tcPr>
            <w:tcW w:w="1860" w:type="dxa"/>
            <w:tcBorders>
              <w:top w:val="nil"/>
              <w:left w:val="nil"/>
              <w:bottom w:val="nil"/>
              <w:right w:val="nil"/>
            </w:tcBorders>
            <w:shd w:val="clear" w:color="auto" w:fill="auto"/>
          </w:tcPr>
          <w:p w14:paraId="5D91130E"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1 vs. 3</w:t>
            </w:r>
          </w:p>
        </w:tc>
        <w:tc>
          <w:tcPr>
            <w:tcW w:w="1215" w:type="dxa"/>
            <w:tcBorders>
              <w:top w:val="nil"/>
              <w:left w:val="nil"/>
              <w:bottom w:val="nil"/>
              <w:right w:val="nil"/>
            </w:tcBorders>
            <w:shd w:val="clear" w:color="auto" w:fill="auto"/>
          </w:tcPr>
          <w:p w14:paraId="2194F593"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0.255</w:t>
            </w:r>
          </w:p>
        </w:tc>
        <w:tc>
          <w:tcPr>
            <w:tcW w:w="2050" w:type="dxa"/>
            <w:tcBorders>
              <w:top w:val="nil"/>
              <w:left w:val="nil"/>
              <w:bottom w:val="nil"/>
              <w:right w:val="nil"/>
            </w:tcBorders>
            <w:shd w:val="clear" w:color="auto" w:fill="auto"/>
          </w:tcPr>
          <w:p w14:paraId="6A9DDB0C"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1.53</w:t>
            </w:r>
          </w:p>
        </w:tc>
      </w:tr>
      <w:tr w:rsidR="00FB0B11" w:rsidRPr="00FB0B11" w14:paraId="75F63E69" w14:textId="77777777" w:rsidTr="0028063D">
        <w:trPr>
          <w:jc w:val="center"/>
        </w:trPr>
        <w:tc>
          <w:tcPr>
            <w:tcW w:w="1035" w:type="dxa"/>
            <w:tcBorders>
              <w:top w:val="nil"/>
              <w:left w:val="nil"/>
              <w:bottom w:val="single" w:sz="12" w:space="0" w:color="auto"/>
              <w:right w:val="nil"/>
            </w:tcBorders>
            <w:shd w:val="clear" w:color="auto" w:fill="auto"/>
          </w:tcPr>
          <w:p w14:paraId="43AD400D"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6</w:t>
            </w:r>
          </w:p>
        </w:tc>
        <w:tc>
          <w:tcPr>
            <w:tcW w:w="1770" w:type="dxa"/>
            <w:tcBorders>
              <w:top w:val="nil"/>
              <w:left w:val="nil"/>
              <w:bottom w:val="single" w:sz="12" w:space="0" w:color="auto"/>
              <w:right w:val="nil"/>
            </w:tcBorders>
            <w:shd w:val="clear" w:color="auto" w:fill="auto"/>
          </w:tcPr>
          <w:p w14:paraId="687F0358"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 xml:space="preserve">SD level 2 vs. 3 </w:t>
            </w:r>
          </w:p>
        </w:tc>
        <w:tc>
          <w:tcPr>
            <w:tcW w:w="1110" w:type="dxa"/>
            <w:tcBorders>
              <w:top w:val="nil"/>
              <w:left w:val="nil"/>
              <w:bottom w:val="single" w:sz="12" w:space="0" w:color="auto"/>
              <w:right w:val="nil"/>
            </w:tcBorders>
            <w:shd w:val="clear" w:color="auto" w:fill="auto"/>
          </w:tcPr>
          <w:p w14:paraId="6BB031E4"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0.083</w:t>
            </w:r>
          </w:p>
        </w:tc>
        <w:tc>
          <w:tcPr>
            <w:tcW w:w="1965" w:type="dxa"/>
            <w:tcBorders>
              <w:top w:val="nil"/>
              <w:left w:val="nil"/>
              <w:bottom w:val="single" w:sz="12" w:space="0" w:color="auto"/>
              <w:right w:val="single" w:sz="12" w:space="0" w:color="auto"/>
            </w:tcBorders>
            <w:shd w:val="clear" w:color="auto" w:fill="auto"/>
          </w:tcPr>
          <w:p w14:paraId="6176D962"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0.498</w:t>
            </w:r>
          </w:p>
        </w:tc>
        <w:tc>
          <w:tcPr>
            <w:tcW w:w="1020" w:type="dxa"/>
            <w:tcBorders>
              <w:top w:val="nil"/>
              <w:left w:val="single" w:sz="12" w:space="0" w:color="auto"/>
              <w:bottom w:val="single" w:sz="12" w:space="0" w:color="auto"/>
              <w:right w:val="nil"/>
            </w:tcBorders>
            <w:shd w:val="clear" w:color="auto" w:fill="auto"/>
          </w:tcPr>
          <w:p w14:paraId="277E71A0" w14:textId="77777777" w:rsidR="00FB0B11" w:rsidRPr="006E39B7" w:rsidRDefault="00FB0B11" w:rsidP="0028063D">
            <w:pPr>
              <w:wordWrap/>
              <w:spacing w:line="240" w:lineRule="auto"/>
              <w:rPr>
                <w:rFonts w:ascii="Times New Roman" w:hAnsi="Times New Roman"/>
                <w:strike/>
                <w:sz w:val="16"/>
                <w:szCs w:val="16"/>
              </w:rPr>
            </w:pPr>
            <w:r w:rsidRPr="006E39B7">
              <w:rPr>
                <w:rFonts w:ascii="Times New Roman" w:hAnsi="Times New Roman"/>
                <w:strike/>
                <w:sz w:val="16"/>
                <w:szCs w:val="16"/>
              </w:rPr>
              <w:t>6</w:t>
            </w:r>
          </w:p>
        </w:tc>
        <w:tc>
          <w:tcPr>
            <w:tcW w:w="1860" w:type="dxa"/>
            <w:tcBorders>
              <w:top w:val="nil"/>
              <w:left w:val="nil"/>
              <w:bottom w:val="single" w:sz="12" w:space="0" w:color="auto"/>
              <w:right w:val="nil"/>
            </w:tcBorders>
            <w:shd w:val="clear" w:color="auto" w:fill="auto"/>
          </w:tcPr>
          <w:p w14:paraId="38D9C59E" w14:textId="77777777" w:rsidR="00FB0B11" w:rsidRPr="00FB0B11" w:rsidRDefault="00FB0B11" w:rsidP="0028063D">
            <w:pPr>
              <w:wordWrap/>
              <w:spacing w:line="240" w:lineRule="auto"/>
              <w:rPr>
                <w:rFonts w:ascii="Times New Roman" w:hAnsi="Times New Roman"/>
                <w:sz w:val="16"/>
                <w:szCs w:val="16"/>
              </w:rPr>
            </w:pPr>
            <w:r w:rsidRPr="00FB0B11">
              <w:rPr>
                <w:rFonts w:ascii="Times New Roman" w:hAnsi="Times New Roman"/>
                <w:sz w:val="16"/>
                <w:szCs w:val="16"/>
              </w:rPr>
              <w:t>SD level 2 vs. 3</w:t>
            </w:r>
          </w:p>
        </w:tc>
        <w:tc>
          <w:tcPr>
            <w:tcW w:w="1215" w:type="dxa"/>
            <w:tcBorders>
              <w:top w:val="nil"/>
              <w:left w:val="nil"/>
              <w:bottom w:val="single" w:sz="12" w:space="0" w:color="auto"/>
              <w:right w:val="nil"/>
            </w:tcBorders>
            <w:shd w:val="clear" w:color="auto" w:fill="auto"/>
          </w:tcPr>
          <w:p w14:paraId="157F049C"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0.197</w:t>
            </w:r>
          </w:p>
        </w:tc>
        <w:tc>
          <w:tcPr>
            <w:tcW w:w="2050" w:type="dxa"/>
            <w:tcBorders>
              <w:top w:val="nil"/>
              <w:left w:val="nil"/>
              <w:bottom w:val="single" w:sz="12" w:space="0" w:color="auto"/>
              <w:right w:val="nil"/>
            </w:tcBorders>
            <w:shd w:val="clear" w:color="auto" w:fill="auto"/>
          </w:tcPr>
          <w:p w14:paraId="44E08FB7" w14:textId="77777777" w:rsidR="00FB0B11" w:rsidRPr="00FB0B11" w:rsidRDefault="00FB0B11" w:rsidP="0028063D">
            <w:pPr>
              <w:wordWrap/>
              <w:spacing w:line="240" w:lineRule="auto"/>
              <w:jc w:val="center"/>
              <w:rPr>
                <w:rFonts w:ascii="Times New Roman" w:hAnsi="Times New Roman"/>
                <w:sz w:val="16"/>
                <w:szCs w:val="16"/>
              </w:rPr>
            </w:pPr>
            <w:r w:rsidRPr="00FB0B11">
              <w:rPr>
                <w:rFonts w:ascii="Times New Roman" w:hAnsi="Times New Roman"/>
                <w:sz w:val="16"/>
                <w:szCs w:val="16"/>
              </w:rPr>
              <w:t>1.182</w:t>
            </w:r>
          </w:p>
        </w:tc>
      </w:tr>
    </w:tbl>
    <w:p w14:paraId="02C547AC" w14:textId="77777777" w:rsidR="00FB0B11" w:rsidRPr="00FB0B11" w:rsidRDefault="00FB0B11" w:rsidP="00FB0B11">
      <w:pPr>
        <w:wordWrap/>
        <w:spacing w:line="240" w:lineRule="auto"/>
        <w:rPr>
          <w:rFonts w:ascii="Times New Roman" w:hAnsi="Times New Roman" w:hint="eastAsia"/>
          <w:sz w:val="16"/>
          <w:szCs w:val="16"/>
        </w:rPr>
        <w:sectPr w:rsidR="00FB0B11" w:rsidRPr="00FB0B11" w:rsidSect="006E39B7">
          <w:pgSz w:w="16838" w:h="11906" w:orient="landscape"/>
          <w:pgMar w:top="1440" w:right="1440" w:bottom="1440" w:left="1440" w:header="851" w:footer="992" w:gutter="0"/>
          <w:cols w:space="425"/>
          <w:docGrid w:linePitch="360"/>
        </w:sectPr>
      </w:pPr>
    </w:p>
    <w:p w14:paraId="72A63C67" w14:textId="2567B6BC" w:rsidR="006E39B7" w:rsidRDefault="006E39B7" w:rsidP="006E39B7">
      <w:pPr>
        <w:wordWrap/>
        <w:spacing w:line="240" w:lineRule="auto"/>
        <w:rPr>
          <w:rFonts w:eastAsiaTheme="minorHAnsi"/>
          <w:i/>
          <w:iCs/>
          <w:sz w:val="24"/>
          <w:szCs w:val="24"/>
        </w:rPr>
      </w:pPr>
      <w:r>
        <w:rPr>
          <w:rFonts w:eastAsiaTheme="minorHAnsi"/>
          <w:i/>
          <w:iCs/>
          <w:sz w:val="24"/>
          <w:szCs w:val="24"/>
        </w:rPr>
        <w:lastRenderedPageBreak/>
        <w:t>To</w:t>
      </w:r>
      <w:r>
        <w:rPr>
          <w:rFonts w:eastAsiaTheme="minorHAnsi"/>
          <w:i/>
          <w:iCs/>
          <w:sz w:val="24"/>
          <w:szCs w:val="24"/>
        </w:rPr>
        <w:t>) Table 2</w:t>
      </w:r>
    </w:p>
    <w:p w14:paraId="15FA4326" w14:textId="77777777" w:rsidR="006E39B7" w:rsidRPr="006E39B7" w:rsidRDefault="006E39B7" w:rsidP="006E39B7">
      <w:pPr>
        <w:wordWrap/>
        <w:spacing w:line="240" w:lineRule="auto"/>
        <w:rPr>
          <w:rFonts w:ascii="Times New Roman" w:hAnsi="Times New Roman"/>
          <w:b/>
          <w:sz w:val="16"/>
          <w:szCs w:val="16"/>
        </w:rPr>
      </w:pPr>
      <w:r w:rsidRPr="006E39B7">
        <w:rPr>
          <w:rFonts w:ascii="Times New Roman" w:hAnsi="Times New Roman"/>
          <w:b/>
          <w:bCs/>
          <w:sz w:val="16"/>
          <w:szCs w:val="16"/>
        </w:rPr>
        <w:t>Table 2.</w:t>
      </w:r>
      <w:r w:rsidRPr="006E39B7">
        <w:rPr>
          <w:rFonts w:ascii="Times New Roman" w:hAnsi="Times New Roman"/>
          <w:b/>
          <w:sz w:val="16"/>
          <w:szCs w:val="16"/>
        </w:rPr>
        <w:t xml:space="preserve"> Post hoc comparisons of the proportion of negative </w:t>
      </w:r>
      <w:r w:rsidRPr="006E39B7">
        <w:rPr>
          <w:rFonts w:ascii="Times New Roman" w:hAnsi="Times New Roman"/>
          <w:b/>
          <w:bCs/>
          <w:sz w:val="16"/>
          <w:szCs w:val="16"/>
        </w:rPr>
        <w:t>respiratory virus</w:t>
      </w:r>
      <w:r w:rsidRPr="006E39B7">
        <w:rPr>
          <w:rFonts w:ascii="Times New Roman" w:hAnsi="Times New Roman"/>
          <w:b/>
          <w:sz w:val="16"/>
          <w:szCs w:val="16"/>
        </w:rPr>
        <w:t xml:space="preserve"> PCR test results and the number of </w:t>
      </w:r>
      <w:r w:rsidRPr="006E39B7">
        <w:rPr>
          <w:rFonts w:ascii="Times New Roman" w:hAnsi="Times New Roman"/>
          <w:b/>
          <w:bCs/>
          <w:sz w:val="16"/>
          <w:szCs w:val="16"/>
        </w:rPr>
        <w:t>respiratory virus</w:t>
      </w:r>
      <w:r w:rsidRPr="006E39B7">
        <w:rPr>
          <w:rFonts w:ascii="Times New Roman" w:hAnsi="Times New Roman"/>
          <w:b/>
          <w:sz w:val="16"/>
          <w:szCs w:val="16"/>
        </w:rPr>
        <w:t xml:space="preserve"> PCR tests according to the levels of social distancing (SD) (levels 0, 1, 2, and 3) using the Mann-Whitney </w:t>
      </w:r>
      <w:r w:rsidRPr="006E39B7">
        <w:rPr>
          <w:rFonts w:ascii="Times New Roman" w:hAnsi="Times New Roman"/>
          <w:b/>
          <w:i/>
          <w:iCs/>
          <w:sz w:val="16"/>
          <w:szCs w:val="16"/>
        </w:rPr>
        <w:t>U</w:t>
      </w:r>
      <w:r w:rsidRPr="006E39B7">
        <w:rPr>
          <w:rFonts w:ascii="Times New Roman" w:hAnsi="Times New Roman"/>
          <w:b/>
          <w:sz w:val="16"/>
          <w:szCs w:val="16"/>
        </w:rPr>
        <w:t xml:space="preserve"> test with Bonferroni correction.</w:t>
      </w:r>
    </w:p>
    <w:p w14:paraId="3CEED588" w14:textId="77777777" w:rsidR="006E39B7" w:rsidRPr="006E39B7" w:rsidRDefault="006E39B7" w:rsidP="006E39B7">
      <w:pPr>
        <w:wordWrap/>
        <w:spacing w:line="240" w:lineRule="auto"/>
        <w:rPr>
          <w:rFonts w:ascii="Times New Roman" w:hAnsi="Times New Roman"/>
          <w:bCs/>
          <w:sz w:val="16"/>
          <w:szCs w:val="16"/>
        </w:rPr>
      </w:pPr>
      <w:r w:rsidRPr="006E39B7">
        <w:rPr>
          <w:rFonts w:ascii="Times New Roman" w:hAnsi="Times New Roman" w:hint="eastAsia"/>
          <w:b/>
          <w:sz w:val="16"/>
          <w:szCs w:val="16"/>
          <w:highlight w:val="yellow"/>
        </w:rPr>
        <w:t>N</w:t>
      </w:r>
      <w:r w:rsidRPr="006E39B7">
        <w:rPr>
          <w:rFonts w:ascii="Times New Roman" w:hAnsi="Times New Roman"/>
          <w:b/>
          <w:sz w:val="16"/>
          <w:szCs w:val="16"/>
          <w:highlight w:val="yellow"/>
        </w:rPr>
        <w:t xml:space="preserve">OTE. </w:t>
      </w:r>
      <w:r w:rsidRPr="006E39B7">
        <w:rPr>
          <w:rFonts w:ascii="Times New Roman" w:hAnsi="Times New Roman"/>
          <w:bCs/>
          <w:sz w:val="16"/>
          <w:szCs w:val="16"/>
          <w:highlight w:val="yellow"/>
        </w:rPr>
        <w:t>SD level 0 presents refers to the years 2015-2019 when SD was not applied.</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69"/>
        <w:gridCol w:w="1372"/>
        <w:gridCol w:w="2143"/>
        <w:gridCol w:w="2223"/>
        <w:gridCol w:w="1134"/>
        <w:gridCol w:w="2552"/>
        <w:gridCol w:w="46"/>
      </w:tblGrid>
      <w:tr w:rsidR="006E39B7" w:rsidRPr="006E39B7" w14:paraId="70BCBD56" w14:textId="77777777" w:rsidTr="0028063D">
        <w:trPr>
          <w:jc w:val="center"/>
        </w:trPr>
        <w:tc>
          <w:tcPr>
            <w:tcW w:w="5384" w:type="dxa"/>
            <w:gridSpan w:val="3"/>
            <w:tcBorders>
              <w:top w:val="single" w:sz="12" w:space="0" w:color="auto"/>
              <w:left w:val="nil"/>
              <w:bottom w:val="single" w:sz="12" w:space="0" w:color="auto"/>
              <w:right w:val="single" w:sz="12" w:space="0" w:color="auto"/>
            </w:tcBorders>
            <w:shd w:val="clear" w:color="auto" w:fill="auto"/>
          </w:tcPr>
          <w:p w14:paraId="31829C3F"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Proportion of negative PCR test results</w:t>
            </w:r>
          </w:p>
        </w:tc>
        <w:tc>
          <w:tcPr>
            <w:tcW w:w="5955" w:type="dxa"/>
            <w:gridSpan w:val="4"/>
            <w:tcBorders>
              <w:top w:val="single" w:sz="12" w:space="0" w:color="auto"/>
              <w:left w:val="single" w:sz="12" w:space="0" w:color="auto"/>
              <w:bottom w:val="single" w:sz="12" w:space="0" w:color="auto"/>
              <w:right w:val="nil"/>
            </w:tcBorders>
            <w:shd w:val="clear" w:color="auto" w:fill="auto"/>
          </w:tcPr>
          <w:p w14:paraId="7AB0EE8E"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No. of PCR tests</w:t>
            </w:r>
          </w:p>
        </w:tc>
      </w:tr>
      <w:tr w:rsidR="006E39B7" w:rsidRPr="006E39B7" w14:paraId="181FCA51" w14:textId="77777777" w:rsidTr="0028063D">
        <w:trPr>
          <w:jc w:val="center"/>
        </w:trPr>
        <w:tc>
          <w:tcPr>
            <w:tcW w:w="1869" w:type="dxa"/>
            <w:tcBorders>
              <w:top w:val="single" w:sz="12" w:space="0" w:color="auto"/>
              <w:left w:val="nil"/>
              <w:bottom w:val="single" w:sz="12" w:space="0" w:color="auto"/>
              <w:right w:val="single" w:sz="12" w:space="0" w:color="auto"/>
            </w:tcBorders>
            <w:shd w:val="clear" w:color="auto" w:fill="auto"/>
          </w:tcPr>
          <w:p w14:paraId="13B880E9"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Comparison</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28361714" w14:textId="77777777" w:rsidR="006E39B7" w:rsidRPr="006E39B7" w:rsidRDefault="006E39B7" w:rsidP="006E39B7">
            <w:pPr>
              <w:wordWrap/>
              <w:spacing w:line="240" w:lineRule="auto"/>
              <w:ind w:leftChars="-52" w:left="-103" w:hanging="1"/>
              <w:jc w:val="center"/>
              <w:rPr>
                <w:rFonts w:ascii="Times New Roman" w:hAnsi="Times New Roman"/>
                <w:b/>
                <w:bCs/>
                <w:sz w:val="16"/>
                <w:szCs w:val="16"/>
              </w:rPr>
            </w:pPr>
            <w:r w:rsidRPr="006E39B7">
              <w:rPr>
                <w:rFonts w:ascii="Times New Roman" w:hAnsi="Times New Roman"/>
                <w:b/>
                <w:bCs/>
                <w:i/>
                <w:iCs/>
                <w:sz w:val="16"/>
                <w:szCs w:val="16"/>
              </w:rPr>
              <w:t>P</w:t>
            </w:r>
            <w:r w:rsidRPr="006E39B7">
              <w:rPr>
                <w:rFonts w:ascii="Times New Roman" w:hAnsi="Times New Roman"/>
                <w:b/>
                <w:bCs/>
                <w:sz w:val="16"/>
                <w:szCs w:val="16"/>
              </w:rPr>
              <w:t xml:space="preserve"> value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3E202917"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 xml:space="preserve">Adjusted </w:t>
            </w:r>
            <w:r w:rsidRPr="006E39B7">
              <w:rPr>
                <w:rFonts w:ascii="Times New Roman" w:hAnsi="Times New Roman"/>
                <w:b/>
                <w:bCs/>
                <w:i/>
                <w:iCs/>
                <w:sz w:val="16"/>
                <w:szCs w:val="16"/>
              </w:rPr>
              <w:t>P</w:t>
            </w:r>
            <w:r w:rsidRPr="006E39B7">
              <w:rPr>
                <w:rFonts w:ascii="Times New Roman" w:hAnsi="Times New Roman"/>
                <w:b/>
                <w:bCs/>
                <w:sz w:val="16"/>
                <w:szCs w:val="16"/>
              </w:rPr>
              <w:t xml:space="preserve"> value</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72D5347D"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Comparison</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784B9724"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i/>
                <w:iCs/>
                <w:sz w:val="16"/>
                <w:szCs w:val="16"/>
              </w:rPr>
              <w:t>P</w:t>
            </w:r>
            <w:r w:rsidRPr="006E39B7">
              <w:rPr>
                <w:rFonts w:ascii="Times New Roman" w:hAnsi="Times New Roman"/>
                <w:b/>
                <w:bCs/>
                <w:sz w:val="16"/>
                <w:szCs w:val="16"/>
              </w:rPr>
              <w:t xml:space="preserve"> value</w:t>
            </w:r>
          </w:p>
        </w:tc>
        <w:tc>
          <w:tcPr>
            <w:tcW w:w="2598" w:type="dxa"/>
            <w:gridSpan w:val="2"/>
            <w:tcBorders>
              <w:top w:val="single" w:sz="12" w:space="0" w:color="auto"/>
              <w:left w:val="single" w:sz="12" w:space="0" w:color="auto"/>
              <w:bottom w:val="single" w:sz="12" w:space="0" w:color="auto"/>
              <w:right w:val="nil"/>
            </w:tcBorders>
            <w:shd w:val="clear" w:color="auto" w:fill="auto"/>
          </w:tcPr>
          <w:p w14:paraId="06F24A79"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 xml:space="preserve">Adjusted </w:t>
            </w:r>
            <w:r w:rsidRPr="006E39B7">
              <w:rPr>
                <w:rFonts w:ascii="Times New Roman" w:hAnsi="Times New Roman"/>
                <w:b/>
                <w:bCs/>
                <w:i/>
                <w:iCs/>
                <w:sz w:val="16"/>
                <w:szCs w:val="16"/>
              </w:rPr>
              <w:t>P</w:t>
            </w:r>
            <w:r w:rsidRPr="006E39B7">
              <w:rPr>
                <w:rFonts w:ascii="Times New Roman" w:hAnsi="Times New Roman"/>
                <w:b/>
                <w:bCs/>
                <w:sz w:val="16"/>
                <w:szCs w:val="16"/>
              </w:rPr>
              <w:t xml:space="preserve"> value</w:t>
            </w:r>
          </w:p>
        </w:tc>
      </w:tr>
      <w:tr w:rsidR="006E39B7" w:rsidRPr="006E39B7" w14:paraId="0013B323"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16A14E69"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1</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4549C279"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0.051</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39B67BDE"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0.306</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28BABA4F"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1</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E8A2731"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552" w:type="dxa"/>
            <w:tcBorders>
              <w:top w:val="single" w:sz="12" w:space="0" w:color="auto"/>
              <w:left w:val="single" w:sz="12" w:space="0" w:color="auto"/>
              <w:bottom w:val="single" w:sz="12" w:space="0" w:color="auto"/>
              <w:right w:val="nil"/>
            </w:tcBorders>
            <w:shd w:val="clear" w:color="auto" w:fill="auto"/>
          </w:tcPr>
          <w:p w14:paraId="350E4902"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r>
      <w:tr w:rsidR="006E39B7" w:rsidRPr="006E39B7" w14:paraId="635C777B"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0ECBFE4A"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2</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42E715AE"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36378F91"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0C8B8FC3"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116D666"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552" w:type="dxa"/>
            <w:tcBorders>
              <w:top w:val="single" w:sz="12" w:space="0" w:color="auto"/>
              <w:left w:val="single" w:sz="12" w:space="0" w:color="auto"/>
              <w:bottom w:val="single" w:sz="12" w:space="0" w:color="auto"/>
              <w:right w:val="nil"/>
            </w:tcBorders>
            <w:shd w:val="clear" w:color="auto" w:fill="auto"/>
          </w:tcPr>
          <w:p w14:paraId="442BE77D"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r>
      <w:tr w:rsidR="006E39B7" w:rsidRPr="006E39B7" w14:paraId="1DF06AA8"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6D60980D"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3</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2DB619EB"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3E0D1520"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16F054C7"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0 vs. 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CF11C34"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552" w:type="dxa"/>
            <w:tcBorders>
              <w:top w:val="single" w:sz="12" w:space="0" w:color="auto"/>
              <w:left w:val="single" w:sz="12" w:space="0" w:color="auto"/>
              <w:bottom w:val="single" w:sz="12" w:space="0" w:color="auto"/>
              <w:right w:val="nil"/>
            </w:tcBorders>
            <w:shd w:val="clear" w:color="auto" w:fill="auto"/>
          </w:tcPr>
          <w:p w14:paraId="68D3BC6C"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r>
      <w:tr w:rsidR="006E39B7" w:rsidRPr="006E39B7" w14:paraId="7F0A8ED1"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2B386654"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1 vs. 2</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2DBA804E"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0.004</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66D8F75E"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0.024</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2C96B27B"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1 vs. 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C49F0A7"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0.13</w:t>
            </w:r>
          </w:p>
        </w:tc>
        <w:tc>
          <w:tcPr>
            <w:tcW w:w="2552" w:type="dxa"/>
            <w:tcBorders>
              <w:top w:val="single" w:sz="12" w:space="0" w:color="auto"/>
              <w:left w:val="single" w:sz="12" w:space="0" w:color="auto"/>
              <w:bottom w:val="single" w:sz="12" w:space="0" w:color="auto"/>
              <w:right w:val="nil"/>
            </w:tcBorders>
            <w:shd w:val="clear" w:color="auto" w:fill="auto"/>
          </w:tcPr>
          <w:p w14:paraId="2BA1F396"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0.78</w:t>
            </w:r>
          </w:p>
        </w:tc>
      </w:tr>
      <w:tr w:rsidR="006E39B7" w:rsidRPr="006E39B7" w14:paraId="12B10505"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5315D326"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1 vs. 3</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07522FF3"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&lt;0.001</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77063A44" w14:textId="77777777" w:rsidR="006E39B7" w:rsidRPr="006E39B7" w:rsidRDefault="006E39B7" w:rsidP="006E39B7">
            <w:pPr>
              <w:wordWrap/>
              <w:spacing w:line="240" w:lineRule="auto"/>
              <w:jc w:val="center"/>
              <w:rPr>
                <w:rFonts w:ascii="Times New Roman" w:hAnsi="Times New Roman"/>
                <w:b/>
                <w:bCs/>
                <w:sz w:val="16"/>
                <w:szCs w:val="16"/>
              </w:rPr>
            </w:pPr>
            <w:r w:rsidRPr="006E39B7">
              <w:rPr>
                <w:rFonts w:ascii="Times New Roman" w:hAnsi="Times New Roman"/>
                <w:b/>
                <w:bCs/>
                <w:sz w:val="16"/>
                <w:szCs w:val="16"/>
              </w:rPr>
              <w:t>&lt;0.001</w:t>
            </w:r>
          </w:p>
        </w:tc>
        <w:tc>
          <w:tcPr>
            <w:tcW w:w="2223" w:type="dxa"/>
            <w:tcBorders>
              <w:top w:val="single" w:sz="12" w:space="0" w:color="auto"/>
              <w:left w:val="single" w:sz="12" w:space="0" w:color="auto"/>
              <w:bottom w:val="single" w:sz="12" w:space="0" w:color="auto"/>
              <w:right w:val="single" w:sz="12" w:space="0" w:color="auto"/>
            </w:tcBorders>
            <w:shd w:val="clear" w:color="auto" w:fill="auto"/>
          </w:tcPr>
          <w:p w14:paraId="44F63D5C"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1 vs. 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59CD999"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0.255</w:t>
            </w:r>
          </w:p>
        </w:tc>
        <w:tc>
          <w:tcPr>
            <w:tcW w:w="2552" w:type="dxa"/>
            <w:tcBorders>
              <w:top w:val="single" w:sz="12" w:space="0" w:color="auto"/>
              <w:left w:val="single" w:sz="12" w:space="0" w:color="auto"/>
              <w:bottom w:val="single" w:sz="12" w:space="0" w:color="auto"/>
              <w:right w:val="nil"/>
            </w:tcBorders>
            <w:shd w:val="clear" w:color="auto" w:fill="auto"/>
          </w:tcPr>
          <w:p w14:paraId="5D54A0FD"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1.53</w:t>
            </w:r>
          </w:p>
        </w:tc>
      </w:tr>
      <w:tr w:rsidR="006E39B7" w:rsidRPr="006E39B7" w14:paraId="47EB0603" w14:textId="77777777" w:rsidTr="0028063D">
        <w:trPr>
          <w:gridAfter w:val="1"/>
          <w:wAfter w:w="46" w:type="dxa"/>
          <w:jc w:val="center"/>
        </w:trPr>
        <w:tc>
          <w:tcPr>
            <w:tcW w:w="1869" w:type="dxa"/>
            <w:tcBorders>
              <w:top w:val="single" w:sz="12" w:space="0" w:color="auto"/>
              <w:left w:val="nil"/>
              <w:bottom w:val="single" w:sz="12" w:space="0" w:color="auto"/>
              <w:right w:val="single" w:sz="12" w:space="0" w:color="auto"/>
            </w:tcBorders>
            <w:shd w:val="clear" w:color="auto" w:fill="auto"/>
          </w:tcPr>
          <w:p w14:paraId="2C1A5501"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 xml:space="preserve">SD level 2 vs. 3 </w:t>
            </w:r>
          </w:p>
        </w:tc>
        <w:tc>
          <w:tcPr>
            <w:tcW w:w="1372" w:type="dxa"/>
            <w:tcBorders>
              <w:top w:val="single" w:sz="12" w:space="0" w:color="auto"/>
              <w:left w:val="single" w:sz="12" w:space="0" w:color="auto"/>
              <w:bottom w:val="single" w:sz="12" w:space="0" w:color="auto"/>
              <w:right w:val="single" w:sz="12" w:space="0" w:color="auto"/>
            </w:tcBorders>
            <w:shd w:val="clear" w:color="auto" w:fill="auto"/>
          </w:tcPr>
          <w:p w14:paraId="093BC615"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0.083</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14:paraId="552AC861"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0.498</w:t>
            </w:r>
          </w:p>
        </w:tc>
        <w:tc>
          <w:tcPr>
            <w:tcW w:w="2223" w:type="dxa"/>
            <w:tcBorders>
              <w:top w:val="single" w:sz="12" w:space="0" w:color="auto"/>
              <w:left w:val="nil"/>
              <w:bottom w:val="single" w:sz="12" w:space="0" w:color="auto"/>
              <w:right w:val="single" w:sz="12" w:space="0" w:color="auto"/>
            </w:tcBorders>
            <w:shd w:val="clear" w:color="auto" w:fill="auto"/>
          </w:tcPr>
          <w:p w14:paraId="65560648" w14:textId="77777777" w:rsidR="006E39B7" w:rsidRPr="006E39B7" w:rsidRDefault="006E39B7" w:rsidP="006E39B7">
            <w:pPr>
              <w:wordWrap/>
              <w:spacing w:line="240" w:lineRule="auto"/>
              <w:rPr>
                <w:rFonts w:ascii="Times New Roman" w:hAnsi="Times New Roman"/>
                <w:sz w:val="16"/>
                <w:szCs w:val="16"/>
              </w:rPr>
            </w:pPr>
            <w:r w:rsidRPr="006E39B7">
              <w:rPr>
                <w:rFonts w:ascii="Times New Roman" w:hAnsi="Times New Roman"/>
                <w:sz w:val="16"/>
                <w:szCs w:val="16"/>
              </w:rPr>
              <w:t>SD level 2 vs. 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03BD837"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0.197</w:t>
            </w:r>
          </w:p>
        </w:tc>
        <w:tc>
          <w:tcPr>
            <w:tcW w:w="2552" w:type="dxa"/>
            <w:tcBorders>
              <w:top w:val="single" w:sz="12" w:space="0" w:color="auto"/>
              <w:left w:val="single" w:sz="12" w:space="0" w:color="auto"/>
              <w:bottom w:val="single" w:sz="12" w:space="0" w:color="auto"/>
              <w:right w:val="nil"/>
            </w:tcBorders>
            <w:shd w:val="clear" w:color="auto" w:fill="auto"/>
          </w:tcPr>
          <w:p w14:paraId="02E28A94" w14:textId="77777777" w:rsidR="006E39B7" w:rsidRPr="006E39B7" w:rsidRDefault="006E39B7" w:rsidP="006E39B7">
            <w:pPr>
              <w:wordWrap/>
              <w:spacing w:line="240" w:lineRule="auto"/>
              <w:jc w:val="center"/>
              <w:rPr>
                <w:rFonts w:ascii="Times New Roman" w:hAnsi="Times New Roman"/>
                <w:sz w:val="16"/>
                <w:szCs w:val="16"/>
              </w:rPr>
            </w:pPr>
            <w:r w:rsidRPr="006E39B7">
              <w:rPr>
                <w:rFonts w:ascii="Times New Roman" w:hAnsi="Times New Roman"/>
                <w:sz w:val="16"/>
                <w:szCs w:val="16"/>
              </w:rPr>
              <w:t>1.182</w:t>
            </w:r>
          </w:p>
        </w:tc>
      </w:tr>
    </w:tbl>
    <w:p w14:paraId="6A176220" w14:textId="71867CF5" w:rsidR="00FB0B11" w:rsidRPr="006E39B7" w:rsidRDefault="00FB0B11" w:rsidP="006E39B7">
      <w:pPr>
        <w:wordWrap/>
        <w:spacing w:line="240" w:lineRule="auto"/>
        <w:rPr>
          <w:rFonts w:eastAsiaTheme="minorHAnsi" w:hint="eastAsia"/>
          <w:i/>
          <w:iCs/>
          <w:sz w:val="16"/>
          <w:szCs w:val="16"/>
        </w:rPr>
        <w:sectPr w:rsidR="00FB0B11" w:rsidRPr="006E39B7" w:rsidSect="006E39B7">
          <w:footerReference w:type="default" r:id="rId5"/>
          <w:pgSz w:w="16838" w:h="11906" w:orient="landscape"/>
          <w:pgMar w:top="1440" w:right="1440" w:bottom="1440" w:left="1440" w:header="851" w:footer="992" w:gutter="0"/>
          <w:cols w:space="425"/>
          <w:docGrid w:linePitch="360"/>
        </w:sectPr>
      </w:pPr>
    </w:p>
    <w:p w14:paraId="41ABD1A2" w14:textId="35A77CAE" w:rsidR="00FB0B11" w:rsidRPr="00FB0B11" w:rsidRDefault="00FB0B11" w:rsidP="00FB0B11">
      <w:pPr>
        <w:wordWrap/>
        <w:spacing w:line="240" w:lineRule="auto"/>
        <w:rPr>
          <w:rFonts w:eastAsiaTheme="minorHAnsi"/>
          <w:i/>
          <w:iCs/>
          <w:sz w:val="24"/>
          <w:szCs w:val="24"/>
        </w:rPr>
      </w:pPr>
      <w:r w:rsidRPr="00FB0B11">
        <w:rPr>
          <w:rFonts w:eastAsiaTheme="minorHAnsi" w:hint="eastAsia"/>
          <w:i/>
          <w:iCs/>
          <w:sz w:val="24"/>
          <w:szCs w:val="24"/>
        </w:rPr>
        <w:lastRenderedPageBreak/>
        <w:t>F</w:t>
      </w:r>
      <w:r w:rsidRPr="00FB0B11">
        <w:rPr>
          <w:rFonts w:eastAsiaTheme="minorHAnsi"/>
          <w:i/>
          <w:iCs/>
          <w:sz w:val="24"/>
          <w:szCs w:val="24"/>
        </w:rPr>
        <w:t>rom)</w:t>
      </w:r>
      <w:r w:rsidR="006E39B7">
        <w:rPr>
          <w:rFonts w:eastAsiaTheme="minorHAnsi"/>
          <w:i/>
          <w:iCs/>
          <w:sz w:val="24"/>
          <w:szCs w:val="24"/>
        </w:rPr>
        <w:t xml:space="preserve"> The 4</w:t>
      </w:r>
      <w:r w:rsidR="006E39B7" w:rsidRPr="006E39B7">
        <w:rPr>
          <w:rFonts w:eastAsiaTheme="minorHAnsi"/>
          <w:i/>
          <w:iCs/>
          <w:sz w:val="24"/>
          <w:szCs w:val="24"/>
          <w:vertAlign w:val="superscript"/>
        </w:rPr>
        <w:t>th</w:t>
      </w:r>
      <w:r w:rsidR="006E39B7">
        <w:rPr>
          <w:rFonts w:eastAsiaTheme="minorHAnsi"/>
          <w:i/>
          <w:iCs/>
          <w:sz w:val="24"/>
          <w:szCs w:val="24"/>
        </w:rPr>
        <w:t xml:space="preserve"> paragraph of the results </w:t>
      </w:r>
    </w:p>
    <w:p w14:paraId="13CE459C" w14:textId="73F96530" w:rsidR="00FB0B11" w:rsidRPr="002F6B28" w:rsidRDefault="00FB0B11" w:rsidP="00FB0B11">
      <w:pPr>
        <w:wordWrap/>
        <w:spacing w:line="240" w:lineRule="auto"/>
        <w:rPr>
          <w:rFonts w:ascii="Times New Roman" w:eastAsia="Times New Roman" w:hAnsi="Times New Roman"/>
          <w:color w:val="000000"/>
          <w:sz w:val="24"/>
          <w:szCs w:val="24"/>
        </w:rPr>
      </w:pPr>
      <w:r w:rsidRPr="00EF6DF6">
        <w:rPr>
          <w:rFonts w:ascii="Times New Roman" w:hAnsi="Times New Roman"/>
          <w:strike/>
          <w:sz w:val="24"/>
          <w:szCs w:val="24"/>
        </w:rPr>
        <w:t>Figure 3 presents the curves of the weekly number/weekly positive rates for each of the eight respiratory viruses. In Table 3, the mean weekly positive rates of respiratory viruses were compared between the social distancing period and the corresponding periods of 2015–2019. Additionally, the same comparisons were conducted according to the three levels of social distancing.</w:t>
      </w:r>
      <w:r w:rsidRPr="002B7F2C">
        <w:rPr>
          <w:rFonts w:ascii="Times New Roman" w:hAnsi="Times New Roman"/>
          <w:sz w:val="24"/>
          <w:szCs w:val="24"/>
        </w:rPr>
        <w:t xml:space="preserve"> </w:t>
      </w:r>
      <w:r w:rsidRPr="002F6B28">
        <w:rPr>
          <w:rFonts w:ascii="Times New Roman" w:hAnsi="Times New Roman"/>
          <w:color w:val="000000"/>
          <w:sz w:val="24"/>
          <w:szCs w:val="24"/>
        </w:rPr>
        <w:t>Each of PIV, IFV, COV, and MPV is rarely observed in the proportion graphs and number graphs in 2020, when social distancing was implemented, unlike 2015-2019 (B-1, B-2, D-1, D-2, E-1, E-2, H-1, and H-2 of Fig 3). In Table 3,</w:t>
      </w:r>
      <w:r>
        <w:rPr>
          <w:rFonts w:ascii="Times New Roman" w:hAnsi="Times New Roman"/>
          <w:color w:val="FF0000"/>
          <w:sz w:val="24"/>
          <w:szCs w:val="24"/>
        </w:rPr>
        <w:t xml:space="preserve"> </w:t>
      </w:r>
      <w:r w:rsidRPr="002B7F2C">
        <w:rPr>
          <w:rFonts w:ascii="Times New Roman" w:hAnsi="Times New Roman"/>
          <w:sz w:val="24"/>
          <w:szCs w:val="24"/>
        </w:rPr>
        <w:t>the mean positive rates for PIV, IFV, C</w:t>
      </w:r>
      <w:r w:rsidRPr="00843860">
        <w:rPr>
          <w:rFonts w:ascii="Times New Roman" w:hAnsi="Times New Roman"/>
          <w:sz w:val="24"/>
          <w:szCs w:val="24"/>
        </w:rPr>
        <w:t>O</w:t>
      </w:r>
      <w:r w:rsidRPr="002B7F2C">
        <w:rPr>
          <w:rFonts w:ascii="Times New Roman" w:hAnsi="Times New Roman"/>
          <w:sz w:val="24"/>
          <w:szCs w:val="24"/>
        </w:rPr>
        <w:t xml:space="preserve">V, and MPV </w:t>
      </w:r>
      <w:r w:rsidRPr="002F6B28">
        <w:rPr>
          <w:rFonts w:ascii="Times New Roman" w:hAnsi="Times New Roman"/>
          <w:color w:val="000000"/>
          <w:sz w:val="24"/>
          <w:szCs w:val="24"/>
        </w:rPr>
        <w:t>during the social distancing period</w:t>
      </w:r>
      <w:r>
        <w:rPr>
          <w:rFonts w:ascii="Times New Roman" w:hAnsi="Times New Roman"/>
          <w:color w:val="FF0000"/>
          <w:sz w:val="24"/>
          <w:szCs w:val="24"/>
        </w:rPr>
        <w:t xml:space="preserve"> </w:t>
      </w:r>
      <w:r w:rsidRPr="002B7F2C">
        <w:rPr>
          <w:rFonts w:ascii="Times New Roman" w:hAnsi="Times New Roman"/>
          <w:sz w:val="24"/>
          <w:szCs w:val="24"/>
        </w:rPr>
        <w:t>were significantly lower than those during the same period in 2015</w:t>
      </w:r>
      <w:r w:rsidRPr="002B7F2C">
        <w:rPr>
          <w:rFonts w:ascii="Times New Roman" w:eastAsia="Times New Roman" w:hAnsi="Times New Roman"/>
          <w:sz w:val="24"/>
          <w:szCs w:val="24"/>
        </w:rPr>
        <w:t xml:space="preserve">–2019, when social distancing was not implemented </w:t>
      </w:r>
      <w:bookmarkStart w:id="1" w:name="_Hlk55554847"/>
      <w:r w:rsidRPr="002B7F2C">
        <w:rPr>
          <w:rFonts w:ascii="Times New Roman" w:eastAsia="Times New Roman" w:hAnsi="Times New Roman"/>
          <w:sz w:val="24"/>
          <w:szCs w:val="24"/>
        </w:rPr>
        <w:t xml:space="preserve">(0.1% vs. 9.3%, </w:t>
      </w:r>
      <w:r w:rsidRPr="002B7F2C">
        <w:rPr>
          <w:rFonts w:ascii="Times New Roman" w:eastAsia="Times New Roman" w:hAnsi="Times New Roman"/>
          <w:i/>
          <w:iCs/>
          <w:sz w:val="24"/>
          <w:szCs w:val="24"/>
        </w:rPr>
        <w:t xml:space="preserve">P </w:t>
      </w:r>
      <w:r w:rsidRPr="002B7F2C">
        <w:rPr>
          <w:rFonts w:ascii="Times New Roman" w:eastAsia="Times New Roman" w:hAnsi="Times New Roman"/>
          <w:sz w:val="24"/>
          <w:szCs w:val="24"/>
        </w:rPr>
        <w:t xml:space="preserve">&lt;0.001; 0.1% vs. 7.2%,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0.4% vs. 2.3%,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and 0.2% vs. 5.3%,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respectively). </w:t>
      </w:r>
      <w:bookmarkEnd w:id="1"/>
      <w:r w:rsidRPr="002B7F2C">
        <w:rPr>
          <w:rFonts w:ascii="Times New Roman" w:eastAsia="Times New Roman" w:hAnsi="Times New Roman"/>
          <w:sz w:val="24"/>
          <w:szCs w:val="24"/>
        </w:rPr>
        <w:t xml:space="preserve">This trend was maintained during each level of </w:t>
      </w:r>
      <w:r w:rsidRPr="002F6B28">
        <w:rPr>
          <w:rFonts w:ascii="Times New Roman" w:eastAsia="Times New Roman" w:hAnsi="Times New Roman"/>
          <w:color w:val="000000"/>
          <w:sz w:val="24"/>
          <w:szCs w:val="24"/>
        </w:rPr>
        <w:t xml:space="preserve">social distancing (Table 3). </w:t>
      </w:r>
      <w:r w:rsidRPr="00EF6DF6">
        <w:rPr>
          <w:rFonts w:ascii="Times New Roman" w:eastAsia="Times New Roman" w:hAnsi="Times New Roman"/>
          <w:strike/>
          <w:color w:val="000000"/>
          <w:sz w:val="24"/>
          <w:szCs w:val="24"/>
        </w:rPr>
        <w:t xml:space="preserve">The mean positive rate for RSV during level 2 social distancing was lower than that during the same period in 2015–2019 (0.3% vs. 1.8%, </w:t>
      </w:r>
      <w:r w:rsidRPr="00EF6DF6">
        <w:rPr>
          <w:rFonts w:ascii="Times New Roman" w:eastAsia="Times New Roman" w:hAnsi="Times New Roman"/>
          <w:i/>
          <w:iCs/>
          <w:strike/>
          <w:color w:val="000000"/>
          <w:sz w:val="24"/>
          <w:szCs w:val="24"/>
        </w:rPr>
        <w:t>P</w:t>
      </w:r>
      <w:r w:rsidRPr="00EF6DF6">
        <w:rPr>
          <w:rFonts w:ascii="Times New Roman" w:eastAsia="Times New Roman" w:hAnsi="Times New Roman"/>
          <w:strike/>
          <w:color w:val="000000"/>
          <w:sz w:val="24"/>
          <w:szCs w:val="24"/>
        </w:rPr>
        <w:t xml:space="preserve"> = 0.004). However, considering both Table 3 and Figure 3 (C-1 and C-2),</w:t>
      </w:r>
      <w:r w:rsidRPr="002F6B28">
        <w:rPr>
          <w:rFonts w:ascii="Times New Roman" w:eastAsia="Times New Roman" w:hAnsi="Times New Roman"/>
          <w:color w:val="000000"/>
          <w:sz w:val="24"/>
          <w:szCs w:val="24"/>
        </w:rPr>
        <w:t xml:space="preserve"> social distancing was implemented outside the general RSV outbreak period; thus, it was difficult to observe the effects of social distancing with respect to RSV positivity in this dataset. The number of ADV and BOV each appeared to decrease in 2020 compared to 2015-2019 period in the number graphs (A-2 and G-2 of Fig 3), </w:t>
      </w:r>
      <w:r w:rsidRPr="00EF6DF6">
        <w:rPr>
          <w:rFonts w:ascii="Times New Roman" w:eastAsia="Times New Roman" w:hAnsi="Times New Roman"/>
          <w:strike/>
          <w:color w:val="000000"/>
          <w:sz w:val="24"/>
          <w:szCs w:val="24"/>
        </w:rPr>
        <w:t>but there was no significant difference between the 2015-2019 period and 2020 in the proportion graphs</w:t>
      </w:r>
      <w:r w:rsidRPr="002F6B28">
        <w:rPr>
          <w:rFonts w:ascii="Times New Roman" w:eastAsia="Times New Roman" w:hAnsi="Times New Roman"/>
          <w:color w:val="000000"/>
          <w:sz w:val="24"/>
          <w:szCs w:val="24"/>
        </w:rPr>
        <w:t xml:space="preserve"> (A-1 and G-1 of Fig 3). In Table 3, there were no differences in mean positive rates of ADV and BOV between the social distancing period and the same period in 2015–2019 </w:t>
      </w:r>
      <w:r w:rsidRPr="00EF6DF6">
        <w:rPr>
          <w:rFonts w:ascii="Times New Roman" w:eastAsia="Times New Roman" w:hAnsi="Times New Roman"/>
          <w:strike/>
          <w:color w:val="000000"/>
          <w:sz w:val="24"/>
          <w:szCs w:val="24"/>
        </w:rPr>
        <w:t xml:space="preserve">(6.2% vs. 6.2%, </w:t>
      </w:r>
      <w:r w:rsidRPr="00EF6DF6">
        <w:rPr>
          <w:rFonts w:ascii="Times New Roman" w:eastAsia="Times New Roman" w:hAnsi="Times New Roman"/>
          <w:i/>
          <w:iCs/>
          <w:strike/>
          <w:color w:val="000000"/>
          <w:sz w:val="24"/>
          <w:szCs w:val="24"/>
        </w:rPr>
        <w:t>P</w:t>
      </w:r>
      <w:r w:rsidRPr="00EF6DF6">
        <w:rPr>
          <w:rFonts w:ascii="Times New Roman" w:eastAsia="Times New Roman" w:hAnsi="Times New Roman"/>
          <w:strike/>
          <w:color w:val="000000"/>
          <w:sz w:val="24"/>
          <w:szCs w:val="24"/>
        </w:rPr>
        <w:t xml:space="preserve"> = 0.906 and 2.6% vs. 3.1%, </w:t>
      </w:r>
      <w:r w:rsidRPr="00EF6DF6">
        <w:rPr>
          <w:rFonts w:ascii="Times New Roman" w:eastAsia="Times New Roman" w:hAnsi="Times New Roman"/>
          <w:i/>
          <w:iCs/>
          <w:strike/>
          <w:color w:val="000000"/>
          <w:sz w:val="24"/>
          <w:szCs w:val="24"/>
        </w:rPr>
        <w:t>P</w:t>
      </w:r>
      <w:r w:rsidRPr="00EF6DF6">
        <w:rPr>
          <w:rFonts w:ascii="Times New Roman" w:eastAsia="Times New Roman" w:hAnsi="Times New Roman"/>
          <w:strike/>
          <w:color w:val="000000"/>
          <w:sz w:val="24"/>
          <w:szCs w:val="24"/>
        </w:rPr>
        <w:t xml:space="preserve"> = 0.432, respectively)</w:t>
      </w:r>
      <w:r w:rsidRPr="002F6B28">
        <w:rPr>
          <w:rFonts w:ascii="Times New Roman" w:eastAsia="Times New Roman" w:hAnsi="Times New Roman"/>
          <w:color w:val="000000"/>
          <w:sz w:val="24"/>
          <w:szCs w:val="24"/>
        </w:rPr>
        <w:t xml:space="preserve">. In the proportion graph, RV/EV decreased during the level 2-3 social distancing period in 2020 compared to </w:t>
      </w:r>
      <w:proofErr w:type="gramStart"/>
      <w:r w:rsidRPr="002F6B28">
        <w:rPr>
          <w:rFonts w:ascii="Times New Roman" w:eastAsia="Times New Roman" w:hAnsi="Times New Roman"/>
          <w:color w:val="000000"/>
          <w:sz w:val="24"/>
          <w:szCs w:val="24"/>
        </w:rPr>
        <w:t>2015-2019, but</w:t>
      </w:r>
      <w:proofErr w:type="gramEnd"/>
      <w:r w:rsidRPr="002F6B28">
        <w:rPr>
          <w:rFonts w:ascii="Times New Roman" w:eastAsia="Times New Roman" w:hAnsi="Times New Roman"/>
          <w:color w:val="000000"/>
          <w:sz w:val="24"/>
          <w:szCs w:val="24"/>
        </w:rPr>
        <w:t xml:space="preserve"> increased in the level 1 social distancing period compared to 2015-2019 (F-1 of Fig 3). </w:t>
      </w:r>
      <w:r w:rsidRPr="00EF6DF6">
        <w:rPr>
          <w:rFonts w:ascii="Times New Roman" w:eastAsia="Times New Roman" w:hAnsi="Times New Roman"/>
          <w:strike/>
          <w:color w:val="000000"/>
          <w:sz w:val="24"/>
          <w:szCs w:val="24"/>
        </w:rPr>
        <w:t xml:space="preserve">In the number graph of RV/EV, the number decreased during the level 2-3 social distancing </w:t>
      </w:r>
      <w:proofErr w:type="gramStart"/>
      <w:r w:rsidRPr="00EF6DF6">
        <w:rPr>
          <w:rFonts w:ascii="Times New Roman" w:eastAsia="Times New Roman" w:hAnsi="Times New Roman"/>
          <w:strike/>
          <w:color w:val="000000"/>
          <w:sz w:val="24"/>
          <w:szCs w:val="24"/>
        </w:rPr>
        <w:t>period, but</w:t>
      </w:r>
      <w:proofErr w:type="gramEnd"/>
      <w:r w:rsidRPr="00EF6DF6">
        <w:rPr>
          <w:rFonts w:ascii="Times New Roman" w:eastAsia="Times New Roman" w:hAnsi="Times New Roman"/>
          <w:strike/>
          <w:color w:val="000000"/>
          <w:sz w:val="24"/>
          <w:szCs w:val="24"/>
        </w:rPr>
        <w:t xml:space="preserve"> increased to a level similar to that of 2015-2019 during the level 1 social distancing period (F-2 of Fig 3).</w:t>
      </w:r>
      <w:r w:rsidRPr="002F6B28">
        <w:rPr>
          <w:rFonts w:ascii="Times New Roman" w:eastAsia="Times New Roman" w:hAnsi="Times New Roman"/>
          <w:color w:val="000000"/>
          <w:sz w:val="24"/>
          <w:szCs w:val="24"/>
        </w:rPr>
        <w:t xml:space="preserve"> The mean positive rate of RV/EV during level 3 social distancing was lower than that in the same period in 2015–2019 (8.5% vs. 19.0%, </w:t>
      </w:r>
      <w:r w:rsidRPr="002F6B28">
        <w:rPr>
          <w:rFonts w:ascii="Times New Roman" w:eastAsia="Times New Roman" w:hAnsi="Times New Roman"/>
          <w:i/>
          <w:iCs/>
          <w:color w:val="000000"/>
          <w:sz w:val="24"/>
          <w:szCs w:val="24"/>
        </w:rPr>
        <w:t>P</w:t>
      </w:r>
      <w:r w:rsidRPr="002F6B28">
        <w:rPr>
          <w:rFonts w:ascii="Times New Roman" w:eastAsia="Times New Roman" w:hAnsi="Times New Roman"/>
          <w:color w:val="000000"/>
          <w:sz w:val="24"/>
          <w:szCs w:val="24"/>
        </w:rPr>
        <w:t xml:space="preserve"> &lt;0.001); however, during level 1 social distancing, the mean positive rate was higher than that in the same period in 2015–2019 (38.3% vs. 19.4%, </w:t>
      </w:r>
      <w:r w:rsidRPr="002F6B28">
        <w:rPr>
          <w:rFonts w:ascii="Times New Roman" w:eastAsia="Times New Roman" w:hAnsi="Times New Roman"/>
          <w:i/>
          <w:iCs/>
          <w:color w:val="000000"/>
          <w:sz w:val="24"/>
          <w:szCs w:val="24"/>
        </w:rPr>
        <w:t>P</w:t>
      </w:r>
      <w:r w:rsidRPr="002F6B28">
        <w:rPr>
          <w:rFonts w:ascii="Times New Roman" w:eastAsia="Times New Roman" w:hAnsi="Times New Roman"/>
          <w:color w:val="000000"/>
          <w:sz w:val="24"/>
          <w:szCs w:val="24"/>
        </w:rPr>
        <w:t xml:space="preserve"> &lt;0.001) (Table 3). </w:t>
      </w:r>
      <w:r w:rsidRPr="00EF6DF6">
        <w:rPr>
          <w:rFonts w:ascii="Times New Roman" w:eastAsia="Times New Roman" w:hAnsi="Times New Roman"/>
          <w:strike/>
          <w:color w:val="000000"/>
          <w:sz w:val="24"/>
          <w:szCs w:val="24"/>
        </w:rPr>
        <w:t>Except for RV/EV of the level 1 social distancing period, weekly numbers of each of seven respiratory viruses during the periods of social distancing were generally lower than those without social distancing (Fig 3), because less than half of the respiratory virus PCR tests were conducted during the former periods compared to the latter periods.</w:t>
      </w:r>
      <w:r w:rsidRPr="002F6B28">
        <w:rPr>
          <w:rFonts w:ascii="Times New Roman" w:eastAsia="Times New Roman" w:hAnsi="Times New Roman"/>
          <w:color w:val="000000"/>
          <w:sz w:val="24"/>
          <w:szCs w:val="24"/>
        </w:rPr>
        <w:t xml:space="preserve"> Graphs of weekly positive rates for the eight respiratory viruses from the university hospital dataset are presented in S2 Fig.</w:t>
      </w:r>
    </w:p>
    <w:p w14:paraId="6B513568" w14:textId="77777777" w:rsidR="00FB0B11" w:rsidRPr="002F6B28" w:rsidRDefault="00FB0B11" w:rsidP="00FB0B11">
      <w:pPr>
        <w:wordWrap/>
        <w:spacing w:line="240" w:lineRule="auto"/>
        <w:rPr>
          <w:rFonts w:ascii="Times New Roman" w:eastAsia="Times New Roman" w:hAnsi="Times New Roman"/>
          <w:color w:val="000000"/>
          <w:sz w:val="24"/>
          <w:szCs w:val="24"/>
        </w:rPr>
      </w:pPr>
    </w:p>
    <w:p w14:paraId="257AB86A" w14:textId="77777777" w:rsidR="00FB0B11" w:rsidRPr="002F6B28" w:rsidRDefault="00FB0B11" w:rsidP="00FB0B11">
      <w:pPr>
        <w:wordWrap/>
        <w:spacing w:line="240" w:lineRule="auto"/>
        <w:rPr>
          <w:rFonts w:ascii="Times New Roman" w:hAnsi="Times New Roman"/>
          <w:b/>
          <w:color w:val="000000"/>
          <w:sz w:val="24"/>
          <w:szCs w:val="24"/>
        </w:rPr>
      </w:pPr>
      <w:r w:rsidRPr="002F6B28">
        <w:rPr>
          <w:rFonts w:ascii="Times New Roman" w:hAnsi="Times New Roman"/>
          <w:b/>
          <w:color w:val="000000"/>
          <w:sz w:val="24"/>
          <w:szCs w:val="24"/>
        </w:rPr>
        <w:t>Fig 3. Weekly number and positive rates of respiratory viruses in South Korea between the 1st week of 2015 and the 42nd week of 2020</w:t>
      </w:r>
    </w:p>
    <w:p w14:paraId="7001880E" w14:textId="77777777" w:rsidR="00FB0B11" w:rsidRPr="002F6B28" w:rsidRDefault="00FB0B11" w:rsidP="00FB0B11">
      <w:pPr>
        <w:wordWrap/>
        <w:spacing w:line="240" w:lineRule="auto"/>
        <w:rPr>
          <w:rFonts w:ascii="Times New Roman" w:hAnsi="Times New Roman"/>
          <w:color w:val="000000"/>
          <w:sz w:val="24"/>
          <w:szCs w:val="24"/>
        </w:rPr>
      </w:pPr>
      <w:r w:rsidRPr="002F6B28">
        <w:rPr>
          <w:rFonts w:ascii="Times New Roman" w:hAnsi="Times New Roman"/>
          <w:color w:val="000000"/>
          <w:sz w:val="24"/>
          <w:szCs w:val="24"/>
        </w:rPr>
        <w:t xml:space="preserve">A-1. Proportion of </w:t>
      </w:r>
      <w:r w:rsidRPr="00EF6DF6">
        <w:rPr>
          <w:rFonts w:ascii="Times New Roman" w:hAnsi="Times New Roman"/>
          <w:strike/>
          <w:color w:val="000000"/>
          <w:sz w:val="24"/>
          <w:szCs w:val="24"/>
        </w:rPr>
        <w:t>Adenovirus (ADV)</w:t>
      </w:r>
      <w:r w:rsidRPr="002F6B28">
        <w:rPr>
          <w:rFonts w:ascii="Times New Roman" w:hAnsi="Times New Roman"/>
          <w:color w:val="000000"/>
          <w:sz w:val="24"/>
          <w:szCs w:val="24"/>
        </w:rPr>
        <w:t xml:space="preserve">; A-2. Number of </w:t>
      </w:r>
      <w:r w:rsidRPr="00EF6DF6">
        <w:rPr>
          <w:rFonts w:ascii="Times New Roman" w:hAnsi="Times New Roman"/>
          <w:strike/>
          <w:color w:val="000000"/>
          <w:sz w:val="24"/>
          <w:szCs w:val="24"/>
        </w:rPr>
        <w:t>ADV</w:t>
      </w:r>
      <w:r w:rsidRPr="002F6B28">
        <w:rPr>
          <w:rFonts w:ascii="Times New Roman" w:hAnsi="Times New Roman"/>
          <w:color w:val="000000"/>
          <w:sz w:val="24"/>
          <w:szCs w:val="24"/>
        </w:rPr>
        <w:t xml:space="preserve">; B-1. Proportion of </w:t>
      </w:r>
      <w:r w:rsidRPr="00EF6DF6">
        <w:rPr>
          <w:rFonts w:ascii="Times New Roman" w:hAnsi="Times New Roman"/>
          <w:strike/>
          <w:color w:val="000000"/>
          <w:sz w:val="24"/>
          <w:szCs w:val="24"/>
        </w:rPr>
        <w:t>Parainfluenza virus (PIV)</w:t>
      </w:r>
      <w:r w:rsidRPr="002F6B28">
        <w:rPr>
          <w:rFonts w:ascii="Times New Roman" w:hAnsi="Times New Roman"/>
          <w:color w:val="000000"/>
          <w:sz w:val="24"/>
          <w:szCs w:val="24"/>
        </w:rPr>
        <w:t xml:space="preserve">; B-2. Number of </w:t>
      </w:r>
      <w:r w:rsidRPr="00EF6DF6">
        <w:rPr>
          <w:rFonts w:ascii="Times New Roman" w:hAnsi="Times New Roman"/>
          <w:strike/>
          <w:color w:val="000000"/>
          <w:sz w:val="24"/>
          <w:szCs w:val="24"/>
        </w:rPr>
        <w:t>PIV</w:t>
      </w:r>
      <w:r w:rsidRPr="002F6B28">
        <w:rPr>
          <w:rFonts w:ascii="Times New Roman" w:hAnsi="Times New Roman"/>
          <w:color w:val="000000"/>
          <w:sz w:val="24"/>
          <w:szCs w:val="24"/>
        </w:rPr>
        <w:t xml:space="preserve">; C-1. Proportion of </w:t>
      </w:r>
      <w:r w:rsidRPr="00EF6DF6">
        <w:rPr>
          <w:rFonts w:ascii="Times New Roman" w:hAnsi="Times New Roman"/>
          <w:strike/>
          <w:color w:val="000000"/>
          <w:sz w:val="24"/>
          <w:szCs w:val="24"/>
        </w:rPr>
        <w:t>Respiratory syncytial virus (RSV)</w:t>
      </w:r>
      <w:r w:rsidRPr="002F6B28">
        <w:rPr>
          <w:rFonts w:ascii="Times New Roman" w:hAnsi="Times New Roman"/>
          <w:color w:val="000000"/>
          <w:sz w:val="24"/>
          <w:szCs w:val="24"/>
        </w:rPr>
        <w:t xml:space="preserve">; C-2. Number of </w:t>
      </w:r>
      <w:r w:rsidRPr="00EF6DF6">
        <w:rPr>
          <w:rFonts w:ascii="Times New Roman" w:hAnsi="Times New Roman"/>
          <w:strike/>
          <w:color w:val="000000"/>
          <w:sz w:val="24"/>
          <w:szCs w:val="24"/>
        </w:rPr>
        <w:t>RSV</w:t>
      </w:r>
      <w:r w:rsidRPr="002F6B28">
        <w:rPr>
          <w:rFonts w:ascii="Times New Roman" w:hAnsi="Times New Roman"/>
          <w:color w:val="000000"/>
          <w:sz w:val="24"/>
          <w:szCs w:val="24"/>
        </w:rPr>
        <w:t xml:space="preserve">; D-1. Proportion of </w:t>
      </w:r>
      <w:r w:rsidRPr="00EF6DF6">
        <w:rPr>
          <w:rFonts w:ascii="Times New Roman" w:hAnsi="Times New Roman"/>
          <w:strike/>
          <w:color w:val="000000"/>
          <w:sz w:val="24"/>
          <w:szCs w:val="24"/>
        </w:rPr>
        <w:t>Influenza (IFV)</w:t>
      </w:r>
      <w:r w:rsidRPr="002F6B28">
        <w:rPr>
          <w:rFonts w:ascii="Times New Roman" w:hAnsi="Times New Roman"/>
          <w:color w:val="000000"/>
          <w:sz w:val="24"/>
          <w:szCs w:val="24"/>
        </w:rPr>
        <w:t xml:space="preserve">; D-2. Number of </w:t>
      </w:r>
      <w:r w:rsidRPr="00EF6DF6">
        <w:rPr>
          <w:rFonts w:ascii="Times New Roman" w:hAnsi="Times New Roman"/>
          <w:strike/>
          <w:color w:val="000000"/>
          <w:sz w:val="24"/>
          <w:szCs w:val="24"/>
        </w:rPr>
        <w:t>IFV</w:t>
      </w:r>
      <w:r w:rsidRPr="002F6B28">
        <w:rPr>
          <w:rFonts w:ascii="Times New Roman" w:hAnsi="Times New Roman"/>
          <w:color w:val="000000"/>
          <w:sz w:val="24"/>
          <w:szCs w:val="24"/>
        </w:rPr>
        <w:t xml:space="preserve">; E-1. Proportion of </w:t>
      </w:r>
      <w:r w:rsidRPr="00EF6DF6">
        <w:rPr>
          <w:rFonts w:ascii="Times New Roman" w:hAnsi="Times New Roman"/>
          <w:strike/>
          <w:color w:val="000000"/>
          <w:sz w:val="24"/>
          <w:szCs w:val="24"/>
        </w:rPr>
        <w:t>Human coronavirus (COV)</w:t>
      </w:r>
      <w:r w:rsidRPr="002F6B28">
        <w:rPr>
          <w:rFonts w:ascii="Times New Roman" w:hAnsi="Times New Roman"/>
          <w:color w:val="000000"/>
          <w:sz w:val="24"/>
          <w:szCs w:val="24"/>
        </w:rPr>
        <w:t xml:space="preserve">; E-2. Number of </w:t>
      </w:r>
      <w:r w:rsidRPr="00EF6DF6">
        <w:rPr>
          <w:rFonts w:ascii="Times New Roman" w:hAnsi="Times New Roman"/>
          <w:strike/>
          <w:color w:val="000000"/>
          <w:sz w:val="24"/>
          <w:szCs w:val="24"/>
        </w:rPr>
        <w:t>COV</w:t>
      </w:r>
      <w:r w:rsidRPr="002F6B28">
        <w:rPr>
          <w:rFonts w:ascii="Times New Roman" w:hAnsi="Times New Roman"/>
          <w:color w:val="000000"/>
          <w:sz w:val="24"/>
          <w:szCs w:val="24"/>
        </w:rPr>
        <w:t xml:space="preserve">; F-1. Proportion of </w:t>
      </w:r>
      <w:r w:rsidRPr="00EF6DF6">
        <w:rPr>
          <w:rFonts w:ascii="Times New Roman" w:hAnsi="Times New Roman"/>
          <w:strike/>
          <w:color w:val="000000"/>
          <w:sz w:val="24"/>
          <w:szCs w:val="24"/>
        </w:rPr>
        <w:t>Rhinovirus/enterovirus (RV/EV)</w:t>
      </w:r>
      <w:r w:rsidRPr="002F6B28">
        <w:rPr>
          <w:rFonts w:ascii="Times New Roman" w:hAnsi="Times New Roman"/>
          <w:color w:val="000000"/>
          <w:sz w:val="24"/>
          <w:szCs w:val="24"/>
        </w:rPr>
        <w:t xml:space="preserve">; F-2. Number of </w:t>
      </w:r>
      <w:r w:rsidRPr="00EF6DF6">
        <w:rPr>
          <w:rFonts w:ascii="Times New Roman" w:hAnsi="Times New Roman"/>
          <w:strike/>
          <w:color w:val="000000"/>
          <w:sz w:val="24"/>
          <w:szCs w:val="24"/>
        </w:rPr>
        <w:t>RV/EV</w:t>
      </w:r>
      <w:r w:rsidRPr="002F6B28">
        <w:rPr>
          <w:rFonts w:ascii="Times New Roman" w:hAnsi="Times New Roman"/>
          <w:color w:val="000000"/>
          <w:sz w:val="24"/>
          <w:szCs w:val="24"/>
        </w:rPr>
        <w:t xml:space="preserve">; G-1. Proportion of Human bocavirus (BOV); G-2. Number of BOV; H-1. Proportion of </w:t>
      </w:r>
      <w:r w:rsidRPr="00EF6DF6">
        <w:rPr>
          <w:rFonts w:ascii="Times New Roman" w:hAnsi="Times New Roman"/>
          <w:strike/>
          <w:color w:val="000000"/>
          <w:sz w:val="24"/>
          <w:szCs w:val="24"/>
        </w:rPr>
        <w:t>Human metapneumovirus (MPV)</w:t>
      </w:r>
      <w:r w:rsidRPr="002F6B28">
        <w:rPr>
          <w:rFonts w:ascii="Times New Roman" w:hAnsi="Times New Roman"/>
          <w:color w:val="000000"/>
          <w:sz w:val="24"/>
          <w:szCs w:val="24"/>
        </w:rPr>
        <w:t xml:space="preserve">; H-2. Number of </w:t>
      </w:r>
      <w:r w:rsidRPr="00EF6DF6">
        <w:rPr>
          <w:rFonts w:ascii="Times New Roman" w:hAnsi="Times New Roman"/>
          <w:strike/>
          <w:color w:val="000000"/>
          <w:sz w:val="24"/>
          <w:szCs w:val="24"/>
        </w:rPr>
        <w:t>MPV.</w:t>
      </w:r>
      <w:r w:rsidRPr="002F6B28">
        <w:rPr>
          <w:rFonts w:ascii="Times New Roman" w:hAnsi="Times New Roman"/>
          <w:color w:val="000000"/>
          <w:sz w:val="24"/>
          <w:szCs w:val="24"/>
        </w:rPr>
        <w:t xml:space="preserve"> Each of gray squares represents the periods of level 3, level 1, and level 2 social distancing.</w:t>
      </w:r>
    </w:p>
    <w:p w14:paraId="502E6F7D" w14:textId="16E185EF" w:rsidR="005E30ED" w:rsidRDefault="005E30ED" w:rsidP="005E30ED">
      <w:pPr>
        <w:pStyle w:val="a3"/>
        <w:shd w:val="clear" w:color="auto" w:fill="FFFFFF"/>
        <w:rPr>
          <w:rFonts w:ascii="맑은 고딕" w:eastAsia="맑은 고딕" w:hAnsi="맑은 고딕"/>
          <w:bCs/>
          <w:i/>
          <w:iCs/>
          <w:color w:val="201F1E"/>
        </w:rPr>
      </w:pPr>
      <w:r>
        <w:rPr>
          <w:rFonts w:ascii="맑은 고딕" w:eastAsia="맑은 고딕" w:hAnsi="맑은 고딕" w:hint="eastAsia"/>
          <w:bCs/>
          <w:i/>
          <w:iCs/>
          <w:color w:val="201F1E"/>
        </w:rPr>
        <w:lastRenderedPageBreak/>
        <w:t>T</w:t>
      </w:r>
      <w:r>
        <w:rPr>
          <w:rFonts w:ascii="맑은 고딕" w:eastAsia="맑은 고딕" w:hAnsi="맑은 고딕"/>
          <w:bCs/>
          <w:i/>
          <w:iCs/>
          <w:color w:val="201F1E"/>
        </w:rPr>
        <w:t>o)</w:t>
      </w:r>
      <w:r w:rsidR="006E39B7">
        <w:rPr>
          <w:rFonts w:ascii="맑은 고딕" w:eastAsia="맑은 고딕" w:hAnsi="맑은 고딕"/>
          <w:bCs/>
          <w:i/>
          <w:iCs/>
          <w:color w:val="201F1E"/>
        </w:rPr>
        <w:t xml:space="preserve"> The 4</w:t>
      </w:r>
      <w:r w:rsidR="006E39B7" w:rsidRPr="006E39B7">
        <w:rPr>
          <w:rFonts w:ascii="맑은 고딕" w:eastAsia="맑은 고딕" w:hAnsi="맑은 고딕"/>
          <w:bCs/>
          <w:i/>
          <w:iCs/>
          <w:color w:val="201F1E"/>
          <w:vertAlign w:val="superscript"/>
        </w:rPr>
        <w:t>th</w:t>
      </w:r>
      <w:r w:rsidR="006E39B7">
        <w:rPr>
          <w:rFonts w:ascii="맑은 고딕" w:eastAsia="맑은 고딕" w:hAnsi="맑은 고딕"/>
          <w:bCs/>
          <w:i/>
          <w:iCs/>
          <w:color w:val="201F1E"/>
        </w:rPr>
        <w:t xml:space="preserve"> paragraph of the results </w:t>
      </w:r>
    </w:p>
    <w:p w14:paraId="2A71EDFC" w14:textId="77777777" w:rsidR="006E39B7" w:rsidRPr="002F6B28" w:rsidRDefault="006E39B7" w:rsidP="006E39B7">
      <w:pPr>
        <w:wordWrap/>
        <w:spacing w:line="240" w:lineRule="auto"/>
        <w:rPr>
          <w:rFonts w:ascii="Times New Roman" w:eastAsia="Times New Roman" w:hAnsi="Times New Roman"/>
          <w:color w:val="000000"/>
          <w:sz w:val="24"/>
          <w:szCs w:val="24"/>
        </w:rPr>
      </w:pPr>
      <w:r w:rsidRPr="002F6B28">
        <w:rPr>
          <w:rFonts w:ascii="Times New Roman" w:hAnsi="Times New Roman"/>
          <w:color w:val="000000"/>
          <w:sz w:val="24"/>
          <w:szCs w:val="24"/>
        </w:rPr>
        <w:t xml:space="preserve">Each of PIV, IFV, COV, and MPV is rarely observed in the proportion graphs and number graphs in 2020, when social distancing was implemented, unlike 2015-2019 </w:t>
      </w:r>
      <w:r w:rsidRPr="000E1791">
        <w:rPr>
          <w:rFonts w:ascii="Times New Roman" w:hAnsi="Times New Roman"/>
          <w:sz w:val="24"/>
          <w:szCs w:val="24"/>
        </w:rPr>
        <w:t>(A-1, A-2, B-1, B-2, C-1, C-2, D-1, and D-2</w:t>
      </w:r>
      <w:r w:rsidRPr="002F6B28">
        <w:rPr>
          <w:rFonts w:ascii="Times New Roman" w:hAnsi="Times New Roman"/>
          <w:color w:val="000000"/>
          <w:sz w:val="24"/>
          <w:szCs w:val="24"/>
        </w:rPr>
        <w:t xml:space="preserve"> of Fig</w:t>
      </w:r>
      <w:r>
        <w:rPr>
          <w:rFonts w:ascii="Times New Roman" w:hAnsi="Times New Roman"/>
          <w:color w:val="000000"/>
          <w:sz w:val="24"/>
          <w:szCs w:val="24"/>
        </w:rPr>
        <w:t>ure</w:t>
      </w:r>
      <w:r w:rsidRPr="002F6B28">
        <w:rPr>
          <w:rFonts w:ascii="Times New Roman" w:hAnsi="Times New Roman"/>
          <w:color w:val="000000"/>
          <w:sz w:val="24"/>
          <w:szCs w:val="24"/>
        </w:rPr>
        <w:t xml:space="preserve"> 3). In Table 3,</w:t>
      </w:r>
      <w:r>
        <w:rPr>
          <w:rFonts w:ascii="Times New Roman" w:hAnsi="Times New Roman"/>
          <w:color w:val="FF0000"/>
          <w:sz w:val="24"/>
          <w:szCs w:val="24"/>
        </w:rPr>
        <w:t xml:space="preserve"> </w:t>
      </w:r>
      <w:r w:rsidRPr="002B7F2C">
        <w:rPr>
          <w:rFonts w:ascii="Times New Roman" w:hAnsi="Times New Roman"/>
          <w:sz w:val="24"/>
          <w:szCs w:val="24"/>
        </w:rPr>
        <w:t>the mean positive rates for PIV, IFV, C</w:t>
      </w:r>
      <w:r w:rsidRPr="00843860">
        <w:rPr>
          <w:rFonts w:ascii="Times New Roman" w:hAnsi="Times New Roman"/>
          <w:sz w:val="24"/>
          <w:szCs w:val="24"/>
        </w:rPr>
        <w:t>O</w:t>
      </w:r>
      <w:r w:rsidRPr="002B7F2C">
        <w:rPr>
          <w:rFonts w:ascii="Times New Roman" w:hAnsi="Times New Roman"/>
          <w:sz w:val="24"/>
          <w:szCs w:val="24"/>
        </w:rPr>
        <w:t xml:space="preserve">V, and MPV </w:t>
      </w:r>
      <w:r w:rsidRPr="002F6B28">
        <w:rPr>
          <w:rFonts w:ascii="Times New Roman" w:hAnsi="Times New Roman"/>
          <w:color w:val="000000"/>
          <w:sz w:val="24"/>
          <w:szCs w:val="24"/>
        </w:rPr>
        <w:t>during the social distancing period</w:t>
      </w:r>
      <w:r>
        <w:rPr>
          <w:rFonts w:ascii="Times New Roman" w:hAnsi="Times New Roman"/>
          <w:color w:val="FF0000"/>
          <w:sz w:val="24"/>
          <w:szCs w:val="24"/>
        </w:rPr>
        <w:t xml:space="preserve"> </w:t>
      </w:r>
      <w:r w:rsidRPr="002B7F2C">
        <w:rPr>
          <w:rFonts w:ascii="Times New Roman" w:hAnsi="Times New Roman"/>
          <w:sz w:val="24"/>
          <w:szCs w:val="24"/>
        </w:rPr>
        <w:t>were significantly lower than those during the same period in 2015</w:t>
      </w:r>
      <w:r w:rsidRPr="002B7F2C">
        <w:rPr>
          <w:rFonts w:ascii="Times New Roman" w:eastAsia="Times New Roman" w:hAnsi="Times New Roman"/>
          <w:sz w:val="24"/>
          <w:szCs w:val="24"/>
        </w:rPr>
        <w:t xml:space="preserve">–2019, when social distancing was not implemented (0.1% vs. 9.3%, </w:t>
      </w:r>
      <w:r w:rsidRPr="002B7F2C">
        <w:rPr>
          <w:rFonts w:ascii="Times New Roman" w:eastAsia="Times New Roman" w:hAnsi="Times New Roman"/>
          <w:i/>
          <w:iCs/>
          <w:sz w:val="24"/>
          <w:szCs w:val="24"/>
        </w:rPr>
        <w:t xml:space="preserve">P </w:t>
      </w:r>
      <w:r w:rsidRPr="002B7F2C">
        <w:rPr>
          <w:rFonts w:ascii="Times New Roman" w:eastAsia="Times New Roman" w:hAnsi="Times New Roman"/>
          <w:sz w:val="24"/>
          <w:szCs w:val="24"/>
        </w:rPr>
        <w:t xml:space="preserve">&lt;0.001; 0.1% vs. 7.2%,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0.4% vs. 2.3%,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and 0.2% vs. 5.3%, </w:t>
      </w:r>
      <w:r w:rsidRPr="002B7F2C">
        <w:rPr>
          <w:rFonts w:ascii="Times New Roman" w:eastAsia="Times New Roman" w:hAnsi="Times New Roman"/>
          <w:i/>
          <w:iCs/>
          <w:sz w:val="24"/>
          <w:szCs w:val="24"/>
        </w:rPr>
        <w:t>P</w:t>
      </w:r>
      <w:r w:rsidRPr="002B7F2C">
        <w:rPr>
          <w:rFonts w:ascii="Times New Roman" w:eastAsia="Times New Roman" w:hAnsi="Times New Roman"/>
          <w:sz w:val="24"/>
          <w:szCs w:val="24"/>
        </w:rPr>
        <w:t xml:space="preserve"> &lt;0.001, respectively). This trend was maintained during each level of </w:t>
      </w:r>
      <w:r w:rsidRPr="002F6B28">
        <w:rPr>
          <w:rFonts w:ascii="Times New Roman" w:eastAsia="Times New Roman" w:hAnsi="Times New Roman"/>
          <w:color w:val="000000"/>
          <w:sz w:val="24"/>
          <w:szCs w:val="24"/>
        </w:rPr>
        <w:t xml:space="preserve">social distancing (Table 3). </w:t>
      </w:r>
      <w:r w:rsidRPr="000E1791">
        <w:rPr>
          <w:rFonts w:ascii="Times New Roman" w:eastAsia="Times New Roman" w:hAnsi="Times New Roman"/>
          <w:sz w:val="24"/>
          <w:szCs w:val="24"/>
        </w:rPr>
        <w:t>I</w:t>
      </w:r>
      <w:r w:rsidRPr="002F6B28">
        <w:rPr>
          <w:rFonts w:ascii="Times New Roman" w:eastAsia="Times New Roman" w:hAnsi="Times New Roman"/>
          <w:color w:val="000000"/>
          <w:sz w:val="24"/>
          <w:szCs w:val="24"/>
        </w:rPr>
        <w:t xml:space="preserve">t was difficult to observe the effects of social distancing with respect to RSV positivity in this </w:t>
      </w:r>
      <w:proofErr w:type="gramStart"/>
      <w:r w:rsidRPr="002F6B28">
        <w:rPr>
          <w:rFonts w:ascii="Times New Roman" w:eastAsia="Times New Roman" w:hAnsi="Times New Roman"/>
          <w:color w:val="000000"/>
          <w:sz w:val="24"/>
          <w:szCs w:val="24"/>
        </w:rPr>
        <w:t>dataset</w:t>
      </w:r>
      <w:r w:rsidRPr="000E1791">
        <w:rPr>
          <w:rFonts w:ascii="Times New Roman" w:eastAsia="Times New Roman" w:hAnsi="Times New Roman"/>
          <w:sz w:val="24"/>
          <w:szCs w:val="24"/>
        </w:rPr>
        <w:t>,</w:t>
      </w:r>
      <w:r w:rsidRPr="002F6B28">
        <w:rPr>
          <w:rFonts w:ascii="Times New Roman" w:eastAsia="Times New Roman" w:hAnsi="Times New Roman"/>
          <w:color w:val="000000"/>
          <w:sz w:val="24"/>
          <w:szCs w:val="24"/>
        </w:rPr>
        <w:t xml:space="preserve"> </w:t>
      </w:r>
      <w:r w:rsidRPr="000E1791">
        <w:rPr>
          <w:rFonts w:ascii="Times New Roman" w:eastAsia="Times New Roman" w:hAnsi="Times New Roman"/>
          <w:sz w:val="24"/>
          <w:szCs w:val="24"/>
        </w:rPr>
        <w:t>because</w:t>
      </w:r>
      <w:proofErr w:type="gramEnd"/>
      <w:r>
        <w:rPr>
          <w:rFonts w:ascii="Times New Roman" w:eastAsia="Times New Roman" w:hAnsi="Times New Roman"/>
          <w:color w:val="FF0000"/>
          <w:sz w:val="24"/>
          <w:szCs w:val="24"/>
        </w:rPr>
        <w:t xml:space="preserve"> </w:t>
      </w:r>
      <w:r w:rsidRPr="002F6B28">
        <w:rPr>
          <w:rFonts w:ascii="Times New Roman" w:eastAsia="Times New Roman" w:hAnsi="Times New Roman"/>
          <w:color w:val="000000"/>
          <w:sz w:val="24"/>
          <w:szCs w:val="24"/>
        </w:rPr>
        <w:t>social distancing was implemented outside the general RSV outbreak period</w:t>
      </w:r>
      <w:r>
        <w:rPr>
          <w:rFonts w:ascii="Times New Roman" w:eastAsia="Times New Roman" w:hAnsi="Times New Roman"/>
          <w:color w:val="000000"/>
          <w:sz w:val="24"/>
          <w:szCs w:val="24"/>
        </w:rPr>
        <w:t xml:space="preserve"> </w:t>
      </w:r>
      <w:r w:rsidRPr="000E1791">
        <w:rPr>
          <w:rFonts w:ascii="Times New Roman" w:eastAsia="Times New Roman" w:hAnsi="Times New Roman"/>
          <w:sz w:val="24"/>
          <w:szCs w:val="24"/>
        </w:rPr>
        <w:t>(E-1 and E-2 of Fig 3, and Table 3).</w:t>
      </w:r>
      <w:bookmarkStart w:id="2" w:name="_Hlk72576125"/>
      <w:r w:rsidRPr="002F6B28">
        <w:rPr>
          <w:rFonts w:ascii="Times New Roman" w:eastAsia="Times New Roman" w:hAnsi="Times New Roman"/>
          <w:color w:val="000000"/>
          <w:sz w:val="24"/>
          <w:szCs w:val="24"/>
        </w:rPr>
        <w:t xml:space="preserve"> </w:t>
      </w:r>
      <w:bookmarkEnd w:id="2"/>
      <w:r w:rsidRPr="000E1791">
        <w:rPr>
          <w:rFonts w:ascii="Times New Roman" w:eastAsia="Times New Roman" w:hAnsi="Times New Roman"/>
          <w:sz w:val="24"/>
          <w:szCs w:val="24"/>
        </w:rPr>
        <w:t>Although t</w:t>
      </w:r>
      <w:r w:rsidRPr="002F6B28">
        <w:rPr>
          <w:rFonts w:ascii="Times New Roman" w:eastAsia="Times New Roman" w:hAnsi="Times New Roman"/>
          <w:color w:val="000000"/>
          <w:sz w:val="24"/>
          <w:szCs w:val="24"/>
        </w:rPr>
        <w:t xml:space="preserve">he number of ADV and BOV each appeared to decrease in 2020 compared to 2015-2019 period, there were no differences in positive rates of ADV and BOV between the social distancing period and the </w:t>
      </w:r>
      <w:r w:rsidRPr="000E1791">
        <w:rPr>
          <w:rFonts w:ascii="Times New Roman" w:eastAsia="Times New Roman" w:hAnsi="Times New Roman"/>
          <w:sz w:val="24"/>
          <w:szCs w:val="24"/>
        </w:rPr>
        <w:t xml:space="preserve">corresponding </w:t>
      </w:r>
      <w:r w:rsidRPr="002F6B28">
        <w:rPr>
          <w:rFonts w:ascii="Times New Roman" w:eastAsia="Times New Roman" w:hAnsi="Times New Roman"/>
          <w:color w:val="000000"/>
          <w:sz w:val="24"/>
          <w:szCs w:val="24"/>
        </w:rPr>
        <w:t>period in 2015–2019 (</w:t>
      </w:r>
      <w:r w:rsidRPr="000E1791">
        <w:rPr>
          <w:rFonts w:ascii="Times New Roman" w:eastAsia="Times New Roman" w:hAnsi="Times New Roman"/>
          <w:sz w:val="24"/>
          <w:szCs w:val="24"/>
        </w:rPr>
        <w:t>F-1, F-2, G-1, and G-2 of Fig 3, and Table 3)</w:t>
      </w:r>
      <w:r w:rsidRPr="002F6B28">
        <w:rPr>
          <w:rFonts w:ascii="Times New Roman" w:eastAsia="Times New Roman" w:hAnsi="Times New Roman"/>
          <w:color w:val="000000"/>
          <w:sz w:val="24"/>
          <w:szCs w:val="24"/>
        </w:rPr>
        <w:t xml:space="preserve">. </w:t>
      </w:r>
      <w:r w:rsidRPr="000E1791">
        <w:rPr>
          <w:rFonts w:ascii="Times New Roman" w:eastAsia="Times New Roman" w:hAnsi="Times New Roman"/>
          <w:sz w:val="24"/>
          <w:szCs w:val="24"/>
        </w:rPr>
        <w:t>The proportion of</w:t>
      </w:r>
      <w:r>
        <w:rPr>
          <w:rFonts w:ascii="Times New Roman" w:eastAsia="Times New Roman" w:hAnsi="Times New Roman"/>
          <w:color w:val="FF0000"/>
          <w:sz w:val="24"/>
          <w:szCs w:val="24"/>
        </w:rPr>
        <w:t xml:space="preserve"> </w:t>
      </w:r>
      <w:r w:rsidRPr="002F6B28">
        <w:rPr>
          <w:rFonts w:ascii="Times New Roman" w:eastAsia="Times New Roman" w:hAnsi="Times New Roman"/>
          <w:color w:val="000000"/>
          <w:sz w:val="24"/>
          <w:szCs w:val="24"/>
        </w:rPr>
        <w:t xml:space="preserve">RV/EV decreased during the level 2-3 social distancing period in 2020 compared to </w:t>
      </w:r>
      <w:proofErr w:type="gramStart"/>
      <w:r w:rsidRPr="002F6B28">
        <w:rPr>
          <w:rFonts w:ascii="Times New Roman" w:eastAsia="Times New Roman" w:hAnsi="Times New Roman"/>
          <w:color w:val="000000"/>
          <w:sz w:val="24"/>
          <w:szCs w:val="24"/>
        </w:rPr>
        <w:t>2015-2019, but</w:t>
      </w:r>
      <w:proofErr w:type="gramEnd"/>
      <w:r w:rsidRPr="002F6B28">
        <w:rPr>
          <w:rFonts w:ascii="Times New Roman" w:eastAsia="Times New Roman" w:hAnsi="Times New Roman"/>
          <w:color w:val="000000"/>
          <w:sz w:val="24"/>
          <w:szCs w:val="24"/>
        </w:rPr>
        <w:t xml:space="preserve"> increased in the level 1 social distancing period (</w:t>
      </w:r>
      <w:r w:rsidRPr="000E1791">
        <w:rPr>
          <w:rFonts w:ascii="Times New Roman" w:eastAsia="Times New Roman" w:hAnsi="Times New Roman"/>
          <w:sz w:val="24"/>
          <w:szCs w:val="24"/>
        </w:rPr>
        <w:t>H-1 and H-2</w:t>
      </w:r>
      <w:r w:rsidRPr="002F6B28">
        <w:rPr>
          <w:rFonts w:ascii="Times New Roman" w:eastAsia="Times New Roman" w:hAnsi="Times New Roman"/>
          <w:color w:val="000000"/>
          <w:sz w:val="24"/>
          <w:szCs w:val="24"/>
        </w:rPr>
        <w:t xml:space="preserve"> of Fig 3</w:t>
      </w:r>
      <w:r w:rsidRPr="000E1791">
        <w:rPr>
          <w:rFonts w:ascii="Times New Roman" w:eastAsia="Times New Roman" w:hAnsi="Times New Roman"/>
          <w:sz w:val="24"/>
          <w:szCs w:val="24"/>
        </w:rPr>
        <w:t>, and Table 3</w:t>
      </w:r>
      <w:r w:rsidRPr="002F6B28">
        <w:rPr>
          <w:rFonts w:ascii="Times New Roman" w:eastAsia="Times New Roman" w:hAnsi="Times New Roman"/>
          <w:color w:val="000000"/>
          <w:sz w:val="24"/>
          <w:szCs w:val="24"/>
        </w:rPr>
        <w:t>). Graphs of weekly positive rates for the eight respiratory viruses from the university hospital dataset are presented in S2 Fig.</w:t>
      </w:r>
    </w:p>
    <w:p w14:paraId="6FC3AF1E" w14:textId="77777777" w:rsidR="006E39B7" w:rsidRPr="002F6B28" w:rsidRDefault="006E39B7" w:rsidP="006E39B7">
      <w:pPr>
        <w:wordWrap/>
        <w:spacing w:line="240" w:lineRule="auto"/>
        <w:rPr>
          <w:rFonts w:ascii="Times New Roman" w:eastAsia="Times New Roman" w:hAnsi="Times New Roman"/>
          <w:color w:val="000000"/>
          <w:sz w:val="24"/>
          <w:szCs w:val="24"/>
        </w:rPr>
      </w:pPr>
    </w:p>
    <w:p w14:paraId="4121F22E" w14:textId="77777777" w:rsidR="006E39B7" w:rsidRPr="002F6B28" w:rsidRDefault="006E39B7" w:rsidP="006E39B7">
      <w:pPr>
        <w:wordWrap/>
        <w:spacing w:line="240" w:lineRule="auto"/>
        <w:rPr>
          <w:rFonts w:ascii="Times New Roman" w:hAnsi="Times New Roman"/>
          <w:b/>
          <w:color w:val="000000"/>
          <w:sz w:val="24"/>
          <w:szCs w:val="24"/>
        </w:rPr>
      </w:pPr>
      <w:r w:rsidRPr="002F6B28">
        <w:rPr>
          <w:rFonts w:ascii="Times New Roman" w:hAnsi="Times New Roman"/>
          <w:b/>
          <w:color w:val="000000"/>
          <w:sz w:val="24"/>
          <w:szCs w:val="24"/>
        </w:rPr>
        <w:t>Fig 3. Weekly number and positive rates of respiratory viruses in South Korea between the 1st week of 2015 and the 42nd week of 2020</w:t>
      </w:r>
    </w:p>
    <w:p w14:paraId="64DBE961" w14:textId="4E54B849" w:rsidR="006E39B7" w:rsidRDefault="006E39B7" w:rsidP="006E39B7">
      <w:pPr>
        <w:pStyle w:val="a3"/>
        <w:shd w:val="clear" w:color="auto" w:fill="FFFFFF"/>
        <w:rPr>
          <w:rFonts w:ascii="맑은 고딕" w:eastAsia="맑은 고딕" w:hAnsi="맑은 고딕"/>
          <w:bCs/>
          <w:i/>
          <w:iCs/>
          <w:color w:val="201F1E"/>
        </w:rPr>
      </w:pPr>
      <w:r w:rsidRPr="002F6B28">
        <w:rPr>
          <w:rFonts w:ascii="Times New Roman" w:hAnsi="Times New Roman"/>
          <w:color w:val="000000"/>
        </w:rPr>
        <w:t xml:space="preserve">A-1. Proportion of </w:t>
      </w:r>
      <w:r w:rsidRPr="000E1791">
        <w:rPr>
          <w:rFonts w:ascii="Times New Roman" w:hAnsi="Times New Roman"/>
        </w:rPr>
        <w:t>Parainfluenza virus (PIV)</w:t>
      </w:r>
      <w:r w:rsidRPr="002F6B28">
        <w:rPr>
          <w:rFonts w:ascii="Times New Roman" w:hAnsi="Times New Roman"/>
          <w:color w:val="000000"/>
        </w:rPr>
        <w:t xml:space="preserve">; A-2. Number of </w:t>
      </w:r>
      <w:r w:rsidRPr="000E1791">
        <w:rPr>
          <w:rFonts w:ascii="Times New Roman" w:hAnsi="Times New Roman"/>
        </w:rPr>
        <w:t>PIV</w:t>
      </w:r>
      <w:r w:rsidRPr="002F6B28">
        <w:rPr>
          <w:rFonts w:ascii="Times New Roman" w:hAnsi="Times New Roman"/>
          <w:color w:val="000000"/>
        </w:rPr>
        <w:t xml:space="preserve">; B-1. Proportion of </w:t>
      </w:r>
      <w:r w:rsidRPr="000E1791">
        <w:rPr>
          <w:rFonts w:ascii="Times New Roman" w:hAnsi="Times New Roman"/>
        </w:rPr>
        <w:t>Influenza</w:t>
      </w:r>
      <w:r w:rsidRPr="002F6B28">
        <w:rPr>
          <w:rFonts w:ascii="Times New Roman" w:hAnsi="Times New Roman"/>
          <w:color w:val="000000"/>
        </w:rPr>
        <w:t xml:space="preserve"> virus (</w:t>
      </w:r>
      <w:r w:rsidRPr="000E1791">
        <w:rPr>
          <w:rFonts w:ascii="Times New Roman" w:hAnsi="Times New Roman"/>
        </w:rPr>
        <w:t>IFV</w:t>
      </w:r>
      <w:r w:rsidRPr="002F6B28">
        <w:rPr>
          <w:rFonts w:ascii="Times New Roman" w:hAnsi="Times New Roman"/>
          <w:color w:val="000000"/>
        </w:rPr>
        <w:t xml:space="preserve">); B-2. Number of </w:t>
      </w:r>
      <w:r w:rsidRPr="000E1791">
        <w:rPr>
          <w:rFonts w:ascii="Times New Roman" w:hAnsi="Times New Roman"/>
        </w:rPr>
        <w:t>IFV</w:t>
      </w:r>
      <w:r w:rsidRPr="002F6B28">
        <w:rPr>
          <w:rFonts w:ascii="Times New Roman" w:hAnsi="Times New Roman"/>
          <w:color w:val="000000"/>
        </w:rPr>
        <w:t xml:space="preserve">; C-1. Proportion of </w:t>
      </w:r>
      <w:r w:rsidRPr="000E1791">
        <w:rPr>
          <w:rFonts w:ascii="Times New Roman" w:hAnsi="Times New Roman"/>
        </w:rPr>
        <w:t>Human coronavirus (COV)</w:t>
      </w:r>
      <w:r w:rsidRPr="002F6B28">
        <w:rPr>
          <w:rFonts w:ascii="Times New Roman" w:hAnsi="Times New Roman"/>
          <w:color w:val="000000"/>
        </w:rPr>
        <w:t xml:space="preserve">; C-2. Number of </w:t>
      </w:r>
      <w:r w:rsidRPr="000E1791">
        <w:rPr>
          <w:rFonts w:ascii="Times New Roman" w:hAnsi="Times New Roman"/>
        </w:rPr>
        <w:t>COV</w:t>
      </w:r>
      <w:r w:rsidRPr="002F6B28">
        <w:rPr>
          <w:rFonts w:ascii="Times New Roman" w:hAnsi="Times New Roman"/>
          <w:color w:val="000000"/>
        </w:rPr>
        <w:t xml:space="preserve">; D-1. Proportion of </w:t>
      </w:r>
      <w:r w:rsidRPr="000E1791">
        <w:rPr>
          <w:rFonts w:ascii="Times New Roman" w:hAnsi="Times New Roman"/>
        </w:rPr>
        <w:t>Human metapneumovirus (MPV)</w:t>
      </w:r>
      <w:r w:rsidRPr="002F6B28">
        <w:rPr>
          <w:rFonts w:ascii="Times New Roman" w:hAnsi="Times New Roman"/>
          <w:color w:val="000000"/>
        </w:rPr>
        <w:t xml:space="preserve">; D-2. Number of </w:t>
      </w:r>
      <w:r w:rsidRPr="000E1791">
        <w:rPr>
          <w:rFonts w:ascii="Times New Roman" w:hAnsi="Times New Roman"/>
        </w:rPr>
        <w:t>MPV</w:t>
      </w:r>
      <w:r w:rsidRPr="002F6B28">
        <w:rPr>
          <w:rFonts w:ascii="Times New Roman" w:hAnsi="Times New Roman"/>
          <w:color w:val="000000"/>
        </w:rPr>
        <w:t xml:space="preserve">; E-1. Proportion of </w:t>
      </w:r>
      <w:r w:rsidRPr="000E1791">
        <w:rPr>
          <w:rFonts w:ascii="Times New Roman" w:hAnsi="Times New Roman"/>
        </w:rPr>
        <w:t>Respiratory syncytial virus (RSV)</w:t>
      </w:r>
      <w:r w:rsidRPr="002F6B28">
        <w:rPr>
          <w:rFonts w:ascii="Times New Roman" w:hAnsi="Times New Roman"/>
          <w:color w:val="000000"/>
        </w:rPr>
        <w:t xml:space="preserve">; E-2. Number of </w:t>
      </w:r>
      <w:r w:rsidRPr="000E1791">
        <w:rPr>
          <w:rFonts w:ascii="Times New Roman" w:hAnsi="Times New Roman"/>
        </w:rPr>
        <w:t>RSV</w:t>
      </w:r>
      <w:r w:rsidRPr="002F6B28">
        <w:rPr>
          <w:rFonts w:ascii="Times New Roman" w:hAnsi="Times New Roman"/>
          <w:color w:val="000000"/>
        </w:rPr>
        <w:t xml:space="preserve">; F-1. Proportion of </w:t>
      </w:r>
      <w:r w:rsidRPr="000E1791">
        <w:rPr>
          <w:rFonts w:ascii="Times New Roman" w:hAnsi="Times New Roman"/>
        </w:rPr>
        <w:t>Adenovirus (ADV)</w:t>
      </w:r>
      <w:r w:rsidRPr="002F6B28">
        <w:rPr>
          <w:rFonts w:ascii="Times New Roman" w:hAnsi="Times New Roman"/>
          <w:color w:val="000000"/>
        </w:rPr>
        <w:t xml:space="preserve">; F-2. Number of </w:t>
      </w:r>
      <w:r w:rsidRPr="000E1791">
        <w:rPr>
          <w:rFonts w:ascii="Times New Roman" w:hAnsi="Times New Roman"/>
        </w:rPr>
        <w:t>ADV</w:t>
      </w:r>
      <w:r w:rsidRPr="002F6B28">
        <w:rPr>
          <w:rFonts w:ascii="Times New Roman" w:hAnsi="Times New Roman"/>
          <w:color w:val="000000"/>
        </w:rPr>
        <w:t xml:space="preserve">; G-1. Proportion of Human bocavirus (BOV); G-2. Number of BOV; H-1. Proportion of </w:t>
      </w:r>
      <w:r w:rsidRPr="000E1791">
        <w:rPr>
          <w:rFonts w:ascii="Times New Roman" w:hAnsi="Times New Roman"/>
        </w:rPr>
        <w:t>Rhinovirus/enterovirus (RV/EV)</w:t>
      </w:r>
      <w:r w:rsidRPr="002F6B28">
        <w:rPr>
          <w:rFonts w:ascii="Times New Roman" w:hAnsi="Times New Roman"/>
          <w:color w:val="000000"/>
        </w:rPr>
        <w:t xml:space="preserve">; H-2. Number of </w:t>
      </w:r>
      <w:r w:rsidRPr="000E1791">
        <w:rPr>
          <w:rFonts w:ascii="Times New Roman" w:hAnsi="Times New Roman"/>
        </w:rPr>
        <w:t>RV/EV</w:t>
      </w:r>
      <w:r w:rsidRPr="002F6B28">
        <w:rPr>
          <w:rFonts w:ascii="Times New Roman" w:hAnsi="Times New Roman"/>
          <w:color w:val="000000"/>
        </w:rPr>
        <w:t>. Each of gray squares represents the periods of level 3, level 1, and level 2 social distancing.</w:t>
      </w:r>
    </w:p>
    <w:p w14:paraId="389E6F2A" w14:textId="4E3C6DE4" w:rsidR="005E30ED" w:rsidRDefault="005E30ED" w:rsidP="000D54D5">
      <w:pPr>
        <w:pStyle w:val="a3"/>
        <w:shd w:val="clear" w:color="auto" w:fill="FFFFFF"/>
        <w:rPr>
          <w:rFonts w:ascii="맑은 고딕" w:eastAsia="맑은 고딕" w:hAnsi="맑은 고딕"/>
          <w:b/>
          <w:bCs/>
          <w:color w:val="201F1E"/>
          <w:sz w:val="23"/>
          <w:szCs w:val="23"/>
          <w:shd w:val="clear" w:color="auto" w:fill="FFFFFF"/>
        </w:rPr>
      </w:pPr>
    </w:p>
    <w:p w14:paraId="7F50AE73" w14:textId="55415DD3" w:rsidR="006E39B7" w:rsidRDefault="006E39B7" w:rsidP="000D54D5">
      <w:pPr>
        <w:pStyle w:val="a3"/>
        <w:shd w:val="clear" w:color="auto" w:fill="FFFFFF"/>
        <w:rPr>
          <w:rFonts w:ascii="맑은 고딕" w:eastAsia="맑은 고딕" w:hAnsi="맑은 고딕"/>
          <w:b/>
          <w:bCs/>
          <w:color w:val="201F1E"/>
          <w:sz w:val="23"/>
          <w:szCs w:val="23"/>
          <w:shd w:val="clear" w:color="auto" w:fill="FFFFFF"/>
        </w:rPr>
      </w:pPr>
    </w:p>
    <w:p w14:paraId="47B93ECB" w14:textId="28AAD51A" w:rsidR="006E39B7" w:rsidRDefault="006E39B7" w:rsidP="000D54D5">
      <w:pPr>
        <w:pStyle w:val="a3"/>
        <w:shd w:val="clear" w:color="auto" w:fill="FFFFFF"/>
        <w:rPr>
          <w:rFonts w:ascii="맑은 고딕" w:eastAsia="맑은 고딕" w:hAnsi="맑은 고딕"/>
          <w:b/>
          <w:bCs/>
          <w:color w:val="201F1E"/>
          <w:sz w:val="23"/>
          <w:szCs w:val="23"/>
          <w:shd w:val="clear" w:color="auto" w:fill="FFFFFF"/>
        </w:rPr>
      </w:pPr>
    </w:p>
    <w:p w14:paraId="3CBE1ABD" w14:textId="6414ABC2" w:rsidR="006E39B7" w:rsidRDefault="006E39B7" w:rsidP="000D54D5">
      <w:pPr>
        <w:pStyle w:val="a3"/>
        <w:shd w:val="clear" w:color="auto" w:fill="FFFFFF"/>
        <w:rPr>
          <w:rFonts w:ascii="맑은 고딕" w:eastAsia="맑은 고딕" w:hAnsi="맑은 고딕"/>
          <w:b/>
          <w:bCs/>
          <w:color w:val="201F1E"/>
          <w:sz w:val="23"/>
          <w:szCs w:val="23"/>
          <w:shd w:val="clear" w:color="auto" w:fill="FFFFFF"/>
        </w:rPr>
      </w:pPr>
    </w:p>
    <w:p w14:paraId="080E2F49" w14:textId="2338B606" w:rsidR="006E39B7" w:rsidRDefault="006E39B7" w:rsidP="000D54D5">
      <w:pPr>
        <w:pStyle w:val="a3"/>
        <w:shd w:val="clear" w:color="auto" w:fill="FFFFFF"/>
        <w:rPr>
          <w:rFonts w:ascii="맑은 고딕" w:eastAsia="맑은 고딕" w:hAnsi="맑은 고딕"/>
          <w:b/>
          <w:bCs/>
          <w:color w:val="201F1E"/>
          <w:sz w:val="23"/>
          <w:szCs w:val="23"/>
          <w:shd w:val="clear" w:color="auto" w:fill="FFFFFF"/>
        </w:rPr>
      </w:pPr>
    </w:p>
    <w:p w14:paraId="51ABC7FD" w14:textId="46241D83" w:rsidR="006E39B7" w:rsidRDefault="006E39B7" w:rsidP="000D54D5">
      <w:pPr>
        <w:pStyle w:val="a3"/>
        <w:shd w:val="clear" w:color="auto" w:fill="FFFFFF"/>
        <w:rPr>
          <w:rFonts w:ascii="맑은 고딕" w:eastAsia="맑은 고딕" w:hAnsi="맑은 고딕"/>
          <w:b/>
          <w:bCs/>
          <w:color w:val="201F1E"/>
          <w:sz w:val="23"/>
          <w:szCs w:val="23"/>
          <w:shd w:val="clear" w:color="auto" w:fill="FFFFFF"/>
        </w:rPr>
      </w:pPr>
    </w:p>
    <w:p w14:paraId="36461187" w14:textId="77777777" w:rsidR="005E30ED" w:rsidRPr="005E30ED" w:rsidRDefault="005E30ED" w:rsidP="000D54D5">
      <w:pPr>
        <w:pStyle w:val="a3"/>
        <w:shd w:val="clear" w:color="auto" w:fill="FFFFFF"/>
        <w:rPr>
          <w:rFonts w:ascii="맑은 고딕" w:eastAsia="맑은 고딕" w:hAnsi="맑은 고딕"/>
          <w:b/>
          <w:bCs/>
          <w:color w:val="201F1E"/>
          <w:sz w:val="23"/>
          <w:szCs w:val="23"/>
          <w:shd w:val="clear" w:color="auto" w:fill="FFFFFF"/>
        </w:rPr>
      </w:pPr>
      <w:r w:rsidRPr="005E30ED">
        <w:rPr>
          <w:rFonts w:ascii="맑은 고딕" w:eastAsia="맑은 고딕" w:hAnsi="맑은 고딕" w:hint="eastAsia"/>
          <w:b/>
          <w:bCs/>
          <w:color w:val="201F1E"/>
          <w:sz w:val="23"/>
          <w:szCs w:val="23"/>
          <w:shd w:val="clear" w:color="auto" w:fill="FFFFFF"/>
        </w:rPr>
        <w:lastRenderedPageBreak/>
        <w:t xml:space="preserve">Discussion, 2nd para, the authors </w:t>
      </w:r>
      <w:proofErr w:type="gramStart"/>
      <w:r w:rsidRPr="005E30ED">
        <w:rPr>
          <w:rFonts w:ascii="맑은 고딕" w:eastAsia="맑은 고딕" w:hAnsi="맑은 고딕" w:hint="eastAsia"/>
          <w:b/>
          <w:bCs/>
          <w:color w:val="201F1E"/>
          <w:sz w:val="23"/>
          <w:szCs w:val="23"/>
          <w:shd w:val="clear" w:color="auto" w:fill="FFFFFF"/>
        </w:rPr>
        <w:t>claimed</w:t>
      </w:r>
      <w:proofErr w:type="gramEnd"/>
      <w:r w:rsidRPr="005E30ED">
        <w:rPr>
          <w:rFonts w:ascii="맑은 고딕" w:eastAsia="맑은 고딕" w:hAnsi="맑은 고딕" w:hint="eastAsia"/>
          <w:b/>
          <w:bCs/>
          <w:color w:val="201F1E"/>
          <w:sz w:val="23"/>
          <w:szCs w:val="23"/>
          <w:shd w:val="clear" w:color="auto" w:fill="FFFFFF"/>
        </w:rPr>
        <w:t xml:space="preserve"> "This is the first time that the effect of social distancing on the outbreaks of common respiratory viruses has been confirmed using national data from a country where social distancing is well implemented." I wonder if this is the case, as similar study was published in other cities, e.g. The Lancet Public Health VOLUME 5, ISSUE 5, E279-E288, MAY 01, 2020 (reference 11 as the authors indicated); and the authors themselves also indicated a similar study as in reference 5.</w:t>
      </w:r>
    </w:p>
    <w:p w14:paraId="65B58D08" w14:textId="66934A78" w:rsidR="005E30ED" w:rsidRPr="006E39B7" w:rsidRDefault="006E39B7" w:rsidP="000D54D5">
      <w:pPr>
        <w:pStyle w:val="a3"/>
        <w:shd w:val="clear" w:color="auto" w:fill="FFFFFF"/>
        <w:rPr>
          <w:rFonts w:ascii="맑은 고딕" w:eastAsia="맑은 고딕" w:hAnsi="맑은 고딕"/>
          <w:i/>
          <w:iCs/>
          <w:color w:val="201F1E"/>
          <w:shd w:val="clear" w:color="auto" w:fill="FFFFFF"/>
        </w:rPr>
      </w:pPr>
      <w:r w:rsidRPr="006E39B7">
        <w:rPr>
          <w:rFonts w:ascii="맑은 고딕" w:eastAsia="맑은 고딕" w:hAnsi="맑은 고딕" w:hint="eastAsia"/>
          <w:i/>
          <w:iCs/>
          <w:color w:val="201F1E"/>
          <w:shd w:val="clear" w:color="auto" w:fill="FFFFFF"/>
        </w:rPr>
        <w:t>A</w:t>
      </w:r>
      <w:r w:rsidRPr="006E39B7">
        <w:rPr>
          <w:rFonts w:ascii="맑은 고딕" w:eastAsia="맑은 고딕" w:hAnsi="맑은 고딕"/>
          <w:i/>
          <w:iCs/>
          <w:color w:val="201F1E"/>
          <w:shd w:val="clear" w:color="auto" w:fill="FFFFFF"/>
        </w:rPr>
        <w:t xml:space="preserve">nswer) </w:t>
      </w:r>
      <w:r>
        <w:rPr>
          <w:rFonts w:ascii="맑은 고딕" w:eastAsia="맑은 고딕" w:hAnsi="맑은 고딕"/>
          <w:i/>
          <w:iCs/>
          <w:color w:val="201F1E"/>
          <w:shd w:val="clear" w:color="auto" w:fill="FFFFFF"/>
        </w:rPr>
        <w:t xml:space="preserve">As you pointed out, similar research data have already been reported, so the </w:t>
      </w:r>
      <w:r w:rsidR="00EF6DF6">
        <w:rPr>
          <w:rFonts w:ascii="맑은 고딕" w:eastAsia="맑은 고딕" w:hAnsi="맑은 고딕"/>
          <w:i/>
          <w:iCs/>
          <w:color w:val="201F1E"/>
          <w:shd w:val="clear" w:color="auto" w:fill="FFFFFF"/>
        </w:rPr>
        <w:t>sentence</w:t>
      </w:r>
      <w:r>
        <w:rPr>
          <w:rFonts w:ascii="맑은 고딕" w:eastAsia="맑은 고딕" w:hAnsi="맑은 고딕"/>
          <w:i/>
          <w:iCs/>
          <w:color w:val="201F1E"/>
          <w:shd w:val="clear" w:color="auto" w:fill="FFFFFF"/>
        </w:rPr>
        <w:t xml:space="preserve"> has been deleted.</w:t>
      </w:r>
    </w:p>
    <w:p w14:paraId="2F1ED3C7" w14:textId="51F31AA9" w:rsidR="006E39B7" w:rsidRPr="006E39B7" w:rsidRDefault="006E39B7" w:rsidP="000D54D5">
      <w:pPr>
        <w:pStyle w:val="a3"/>
        <w:shd w:val="clear" w:color="auto" w:fill="FFFFFF"/>
        <w:rPr>
          <w:rFonts w:ascii="맑은 고딕" w:eastAsia="맑은 고딕" w:hAnsi="맑은 고딕"/>
          <w:i/>
          <w:iCs/>
          <w:color w:val="201F1E"/>
          <w:sz w:val="23"/>
          <w:szCs w:val="23"/>
          <w:shd w:val="clear" w:color="auto" w:fill="FFFFFF"/>
        </w:rPr>
      </w:pPr>
      <w:r w:rsidRPr="002B7F2C">
        <w:rPr>
          <w:rFonts w:ascii="Times New Roman" w:hAnsi="Times New Roman"/>
        </w:rPr>
        <w:t xml:space="preserve">This study shows that social distancing prevented outbreaks of common </w:t>
      </w:r>
      <w:bookmarkStart w:id="3" w:name="_Hlk66797963"/>
      <w:r w:rsidRPr="004B68B6">
        <w:rPr>
          <w:rFonts w:ascii="Times New Roman" w:hAnsi="Times New Roman"/>
        </w:rPr>
        <w:t>respiratory viruse</w:t>
      </w:r>
      <w:r w:rsidRPr="002B7F2C">
        <w:rPr>
          <w:rFonts w:ascii="Times New Roman" w:hAnsi="Times New Roman"/>
        </w:rPr>
        <w:t>s</w:t>
      </w:r>
      <w:bookmarkEnd w:id="3"/>
      <w:r w:rsidRPr="002B7F2C">
        <w:rPr>
          <w:rFonts w:ascii="Times New Roman" w:hAnsi="Times New Roman"/>
        </w:rPr>
        <w:t xml:space="preserve">, and this effect was proportional to the level of social distancing. </w:t>
      </w:r>
      <w:r w:rsidRPr="006E39B7">
        <w:rPr>
          <w:rFonts w:ascii="Times New Roman" w:hAnsi="Times New Roman"/>
          <w:strike/>
        </w:rPr>
        <w:t>This is the first time that the effect of social distancing on the outbreaks of common respiratory viruses</w:t>
      </w:r>
      <w:r w:rsidRPr="006E39B7" w:rsidDel="00803238">
        <w:rPr>
          <w:rFonts w:ascii="Times New Roman" w:hAnsi="Times New Roman"/>
          <w:strike/>
        </w:rPr>
        <w:t xml:space="preserve"> </w:t>
      </w:r>
      <w:r w:rsidRPr="006E39B7">
        <w:rPr>
          <w:rFonts w:ascii="Times New Roman" w:hAnsi="Times New Roman"/>
          <w:strike/>
        </w:rPr>
        <w:t>has been confirmed using national data from a country where social distancing is well implemented.</w:t>
      </w:r>
      <w:r w:rsidRPr="002B7F2C">
        <w:rPr>
          <w:rFonts w:ascii="Times New Roman" w:hAnsi="Times New Roman"/>
        </w:rPr>
        <w:t xml:space="preserve"> The impact of diverse non-pharmaceutical interventions against COVID-19 has been reported during this pandemic [5]. Additionally, the reduction of the influenza epidemic due to social distancing has already been reported in several studies [</w:t>
      </w:r>
      <w:r w:rsidRPr="004B68B6">
        <w:rPr>
          <w:rFonts w:ascii="Times New Roman" w:hAnsi="Times New Roman"/>
        </w:rPr>
        <w:t>11–13</w:t>
      </w:r>
      <w:r w:rsidRPr="002B7F2C">
        <w:rPr>
          <w:rFonts w:ascii="Times New Roman" w:hAnsi="Times New Roman"/>
        </w:rPr>
        <w:t xml:space="preserve">]. Common </w:t>
      </w:r>
      <w:r w:rsidRPr="004B68B6">
        <w:rPr>
          <w:rFonts w:ascii="Times New Roman" w:hAnsi="Times New Roman"/>
        </w:rPr>
        <w:t>respiratory viruses</w:t>
      </w:r>
      <w:r w:rsidRPr="002B7F2C" w:rsidDel="00803238">
        <w:rPr>
          <w:rFonts w:ascii="Times New Roman" w:hAnsi="Times New Roman"/>
        </w:rPr>
        <w:t xml:space="preserve"> </w:t>
      </w:r>
      <w:r w:rsidRPr="004B68B6">
        <w:rPr>
          <w:rFonts w:ascii="Times New Roman" w:hAnsi="Times New Roman"/>
        </w:rPr>
        <w:t xml:space="preserve">are transmitted in a manner </w:t>
      </w:r>
      <w:proofErr w:type="gramStart"/>
      <w:r w:rsidRPr="004B68B6">
        <w:rPr>
          <w:rFonts w:ascii="Times New Roman" w:hAnsi="Times New Roman"/>
        </w:rPr>
        <w:t>similar to</w:t>
      </w:r>
      <w:proofErr w:type="gramEnd"/>
      <w:r w:rsidRPr="004B68B6">
        <w:rPr>
          <w:rFonts w:ascii="Times New Roman" w:hAnsi="Times New Roman"/>
        </w:rPr>
        <w:t xml:space="preserve"> SARS-CoV-2 and influenza virus</w:t>
      </w:r>
      <w:r>
        <w:rPr>
          <w:rFonts w:ascii="Times New Roman" w:hAnsi="Times New Roman"/>
        </w:rPr>
        <w:t xml:space="preserve">. </w:t>
      </w:r>
      <w:r w:rsidRPr="002B7F2C">
        <w:rPr>
          <w:rFonts w:ascii="Times New Roman" w:hAnsi="Times New Roman"/>
        </w:rPr>
        <w:t xml:space="preserve">Thus, social distancing is expected to have some effect in terms of suppressing the spread of common </w:t>
      </w:r>
      <w:r w:rsidRPr="004B68B6">
        <w:rPr>
          <w:rFonts w:ascii="Times New Roman" w:hAnsi="Times New Roman"/>
        </w:rPr>
        <w:t>respiratory viruse</w:t>
      </w:r>
      <w:r w:rsidRPr="002B7F2C">
        <w:rPr>
          <w:rFonts w:ascii="Times New Roman" w:hAnsi="Times New Roman"/>
        </w:rPr>
        <w:t xml:space="preserve">s. The results of this study clearly show how extensive social distancing helps prevent the spread of various </w:t>
      </w:r>
      <w:r w:rsidRPr="004B68B6">
        <w:rPr>
          <w:rFonts w:ascii="Times New Roman" w:hAnsi="Times New Roman"/>
        </w:rPr>
        <w:t>respiratory viruse</w:t>
      </w:r>
      <w:r w:rsidRPr="002B7F2C">
        <w:rPr>
          <w:rFonts w:ascii="Times New Roman" w:hAnsi="Times New Roman"/>
        </w:rPr>
        <w:t>s, even without the use of antiviral drugs or vaccines. Thus, extensive social distancing may be one of the most effective methods to control a pandemic</w:t>
      </w:r>
      <w:r>
        <w:rPr>
          <w:rFonts w:ascii="Times New Roman" w:hAnsi="Times New Roman"/>
        </w:rPr>
        <w:t xml:space="preserve"> </w:t>
      </w:r>
      <w:r w:rsidRPr="004B68B6">
        <w:rPr>
          <w:rFonts w:ascii="Times New Roman" w:hAnsi="Times New Roman"/>
        </w:rPr>
        <w:t>of similar respiratory viruses</w:t>
      </w:r>
      <w:r w:rsidRPr="002B7F2C">
        <w:rPr>
          <w:rFonts w:ascii="Times New Roman" w:hAnsi="Times New Roman"/>
        </w:rPr>
        <w:t xml:space="preserve">. In contrast, the proportion of negative </w:t>
      </w:r>
      <w:r w:rsidRPr="004B68B6">
        <w:rPr>
          <w:rFonts w:ascii="Times New Roman" w:hAnsi="Times New Roman"/>
        </w:rPr>
        <w:t>respiratory virus</w:t>
      </w:r>
      <w:r w:rsidRPr="002B7F2C">
        <w:rPr>
          <w:rFonts w:ascii="Times New Roman" w:hAnsi="Times New Roman"/>
        </w:rPr>
        <w:t xml:space="preserve"> PCR test results may be a surrogate marker to identify whether social distancing is being properly implemented. In May 2020, the media focused on the issue of improper implementation of social distancing (good weather for outdoor activities and various holidays). Therefore, the proportion of negative </w:t>
      </w:r>
      <w:r w:rsidRPr="004B68B6">
        <w:rPr>
          <w:rFonts w:ascii="Times New Roman" w:hAnsi="Times New Roman" w:hint="eastAsia"/>
        </w:rPr>
        <w:t>r</w:t>
      </w:r>
      <w:r w:rsidRPr="004B68B6">
        <w:rPr>
          <w:rFonts w:ascii="Times New Roman" w:hAnsi="Times New Roman"/>
        </w:rPr>
        <w:t>espiratory virus</w:t>
      </w:r>
      <w:r w:rsidRPr="002B7F2C" w:rsidDel="00B96D35">
        <w:rPr>
          <w:rFonts w:ascii="Times New Roman" w:hAnsi="Times New Roman"/>
        </w:rPr>
        <w:t xml:space="preserve"> </w:t>
      </w:r>
      <w:r w:rsidRPr="002B7F2C">
        <w:rPr>
          <w:rFonts w:ascii="Times New Roman" w:hAnsi="Times New Roman"/>
        </w:rPr>
        <w:t xml:space="preserve">PCR test results decreased to 60% even before the discontinuation of social distancing (Fig 1). Furthermore, the impact of social distancing on the occurrence of common </w:t>
      </w:r>
      <w:r w:rsidRPr="004B68B6">
        <w:rPr>
          <w:rFonts w:ascii="Times New Roman" w:hAnsi="Times New Roman" w:hint="eastAsia"/>
        </w:rPr>
        <w:t>r</w:t>
      </w:r>
      <w:r w:rsidRPr="004B68B6">
        <w:rPr>
          <w:rFonts w:ascii="Times New Roman" w:hAnsi="Times New Roman"/>
        </w:rPr>
        <w:t>espiratory virus</w:t>
      </w:r>
      <w:r w:rsidRPr="002B7F2C">
        <w:rPr>
          <w:rFonts w:ascii="Times New Roman" w:hAnsi="Times New Roman"/>
        </w:rPr>
        <w:t>-associated acute illnesses such as pneumonia, acute exacerbation of chronic obstructive lung disease or asthma, and cardiovascular or cerebral vascular events need to be investigated based on the status of the current pandemic.</w:t>
      </w:r>
    </w:p>
    <w:p w14:paraId="58C970EB" w14:textId="77777777" w:rsidR="005E30ED" w:rsidRDefault="005E30ED" w:rsidP="000D54D5">
      <w:pPr>
        <w:pStyle w:val="a3"/>
        <w:shd w:val="clear" w:color="auto" w:fill="FFFFFF"/>
        <w:rPr>
          <w:rFonts w:ascii="맑은 고딕" w:eastAsia="맑은 고딕" w:hAnsi="맑은 고딕"/>
          <w:color w:val="201F1E"/>
          <w:sz w:val="23"/>
          <w:szCs w:val="23"/>
          <w:shd w:val="clear" w:color="auto" w:fill="FFFFFF"/>
        </w:rPr>
      </w:pPr>
    </w:p>
    <w:p w14:paraId="6B6F8668" w14:textId="30842CAF" w:rsidR="00F0758E" w:rsidRDefault="00F0758E">
      <w:pPr>
        <w:rPr>
          <w:rFonts w:ascii="Times New Roman" w:hAnsi="Times New Roman"/>
          <w:sz w:val="24"/>
          <w:szCs w:val="24"/>
        </w:rPr>
      </w:pPr>
    </w:p>
    <w:p w14:paraId="59B2F470" w14:textId="1A658E49" w:rsidR="00F0758E" w:rsidRPr="00095541" w:rsidRDefault="00F0758E">
      <w:pPr>
        <w:rPr>
          <w:rFonts w:ascii="Times New Roman" w:hAnsi="Times New Roman"/>
          <w:b/>
          <w:bCs/>
          <w:i/>
          <w:iCs/>
          <w:sz w:val="40"/>
          <w:szCs w:val="40"/>
        </w:rPr>
      </w:pPr>
      <w:r w:rsidRPr="00095541">
        <w:rPr>
          <w:rFonts w:ascii="Times New Roman" w:hAnsi="Times New Roman" w:hint="eastAsia"/>
          <w:b/>
          <w:bCs/>
          <w:i/>
          <w:iCs/>
          <w:sz w:val="40"/>
          <w:szCs w:val="40"/>
        </w:rPr>
        <w:t>T</w:t>
      </w:r>
      <w:r w:rsidRPr="00095541">
        <w:rPr>
          <w:rFonts w:ascii="Times New Roman" w:hAnsi="Times New Roman"/>
          <w:b/>
          <w:bCs/>
          <w:i/>
          <w:iCs/>
          <w:sz w:val="40"/>
          <w:szCs w:val="40"/>
        </w:rPr>
        <w:t>hank you for your thoughtful comments!</w:t>
      </w:r>
    </w:p>
    <w:p w14:paraId="74DE0075" w14:textId="77777777" w:rsidR="00F0758E" w:rsidRPr="00F0758E" w:rsidRDefault="00F0758E">
      <w:pPr>
        <w:rPr>
          <w:bCs/>
          <w:i/>
          <w:iCs/>
          <w:sz w:val="24"/>
          <w:szCs w:val="24"/>
        </w:rPr>
      </w:pPr>
    </w:p>
    <w:sectPr w:rsidR="00F0758E" w:rsidRPr="00F0758E" w:rsidSect="006E39B7">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228C" w14:textId="77777777" w:rsidR="00843860" w:rsidRPr="002B7F2C" w:rsidRDefault="00EF6DF6">
    <w:pPr>
      <w:pStyle w:val="a5"/>
      <w:jc w:val="right"/>
    </w:pPr>
    <w:r w:rsidRPr="002B7F2C">
      <w:fldChar w:fldCharType="begin"/>
    </w:r>
    <w:r w:rsidRPr="002B7F2C">
      <w:instrText xml:space="preserve"> PAGE   \* MERGEFORMAT </w:instrText>
    </w:r>
    <w:r w:rsidRPr="002B7F2C">
      <w:fldChar w:fldCharType="separate"/>
    </w:r>
    <w:r w:rsidRPr="002B7F2C">
      <w:t>12</w:t>
    </w:r>
    <w:r w:rsidRPr="002B7F2C">
      <w:fldChar w:fldCharType="end"/>
    </w:r>
  </w:p>
  <w:p w14:paraId="4AE93418" w14:textId="77777777" w:rsidR="00843860" w:rsidRPr="002B7F2C" w:rsidRDefault="00EF6DF6">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970"/>
    <w:multiLevelType w:val="hybridMultilevel"/>
    <w:tmpl w:val="7286E4CC"/>
    <w:lvl w:ilvl="0" w:tplc="C18EFFA8">
      <w:start w:val="2"/>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D5"/>
    <w:rsid w:val="00095541"/>
    <w:rsid w:val="000A0159"/>
    <w:rsid w:val="000C3673"/>
    <w:rsid w:val="000D54D5"/>
    <w:rsid w:val="000E2110"/>
    <w:rsid w:val="000F0DF2"/>
    <w:rsid w:val="00432659"/>
    <w:rsid w:val="005E30ED"/>
    <w:rsid w:val="006000AF"/>
    <w:rsid w:val="00676E0C"/>
    <w:rsid w:val="00692F64"/>
    <w:rsid w:val="006E39B7"/>
    <w:rsid w:val="007074CD"/>
    <w:rsid w:val="00791BD8"/>
    <w:rsid w:val="00875A36"/>
    <w:rsid w:val="009408C4"/>
    <w:rsid w:val="009B1ADE"/>
    <w:rsid w:val="009B4362"/>
    <w:rsid w:val="00C275C3"/>
    <w:rsid w:val="00CB5FA2"/>
    <w:rsid w:val="00CF7D58"/>
    <w:rsid w:val="00D60800"/>
    <w:rsid w:val="00DD7DDA"/>
    <w:rsid w:val="00E90976"/>
    <w:rsid w:val="00EA3C83"/>
    <w:rsid w:val="00EF6DF6"/>
    <w:rsid w:val="00F0758E"/>
    <w:rsid w:val="00FB0B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CD04"/>
  <w15:chartTrackingRefBased/>
  <w15:docId w15:val="{B59664F1-898F-4D67-AB75-18F4ECC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4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F0758E"/>
    <w:pPr>
      <w:widowControl w:val="0"/>
      <w:wordWrap w:val="0"/>
      <w:autoSpaceDE w:val="0"/>
      <w:autoSpaceDN w:val="0"/>
      <w:spacing w:after="0" w:line="240" w:lineRule="auto"/>
    </w:pPr>
  </w:style>
  <w:style w:type="paragraph" w:styleId="a5">
    <w:name w:val="footer"/>
    <w:basedOn w:val="a"/>
    <w:link w:val="Char"/>
    <w:uiPriority w:val="99"/>
    <w:unhideWhenUsed/>
    <w:rsid w:val="00FB0B11"/>
    <w:pPr>
      <w:tabs>
        <w:tab w:val="center" w:pos="4513"/>
        <w:tab w:val="right" w:pos="9026"/>
      </w:tabs>
      <w:snapToGrid w:val="0"/>
    </w:pPr>
    <w:rPr>
      <w:rFonts w:ascii="맑은 고딕" w:eastAsia="맑은 고딕" w:hAnsi="맑은 고딕" w:cs="Times New Roman"/>
    </w:rPr>
  </w:style>
  <w:style w:type="character" w:customStyle="1" w:styleId="Char">
    <w:name w:val="바닥글 Char"/>
    <w:basedOn w:val="a0"/>
    <w:link w:val="a5"/>
    <w:uiPriority w:val="99"/>
    <w:rsid w:val="00FB0B11"/>
    <w:rPr>
      <w:rFonts w:ascii="맑은 고딕" w:eastAsia="맑은 고딕" w:hAnsi="맑은 고딕" w:cs="Times New Roman"/>
    </w:rPr>
  </w:style>
  <w:style w:type="character" w:styleId="a6">
    <w:name w:val="line number"/>
    <w:basedOn w:val="a0"/>
    <w:uiPriority w:val="99"/>
    <w:semiHidden/>
    <w:unhideWhenUsed/>
    <w:rsid w:val="00FB0B11"/>
  </w:style>
  <w:style w:type="paragraph" w:styleId="a7">
    <w:name w:val="header"/>
    <w:basedOn w:val="a"/>
    <w:link w:val="Char0"/>
    <w:uiPriority w:val="99"/>
    <w:unhideWhenUsed/>
    <w:rsid w:val="006E39B7"/>
    <w:pPr>
      <w:tabs>
        <w:tab w:val="center" w:pos="4513"/>
        <w:tab w:val="right" w:pos="9026"/>
      </w:tabs>
      <w:snapToGrid w:val="0"/>
    </w:pPr>
    <w:rPr>
      <w:rFonts w:ascii="맑은 고딕" w:eastAsia="맑은 고딕" w:hAnsi="맑은 고딕" w:cs="Times New Roman"/>
    </w:rPr>
  </w:style>
  <w:style w:type="character" w:customStyle="1" w:styleId="Char0">
    <w:name w:val="머리글 Char"/>
    <w:basedOn w:val="a0"/>
    <w:link w:val="a7"/>
    <w:uiPriority w:val="99"/>
    <w:rsid w:val="006E39B7"/>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2439</Words>
  <Characters>13906</Characters>
  <Application>Microsoft Office Word</Application>
  <DocSecurity>0</DocSecurity>
  <Lines>115</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최성호</cp:lastModifiedBy>
  <cp:revision>2</cp:revision>
  <dcterms:created xsi:type="dcterms:W3CDTF">2021-05-22T13:01:00Z</dcterms:created>
  <dcterms:modified xsi:type="dcterms:W3CDTF">2021-05-22T13:01:00Z</dcterms:modified>
</cp:coreProperties>
</file>