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37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t-BR"/>
        </w:rPr>
      </w:pPr>
      <w:proofErr w:type="spellStart"/>
      <w:r w:rsidRPr="008F6537">
        <w:rPr>
          <w:rFonts w:eastAsia="Times New Roman" w:cstheme="minorHAnsi"/>
          <w:b/>
          <w:color w:val="000000"/>
          <w:lang w:eastAsia="pt-BR"/>
        </w:rPr>
        <w:t>Rebuttal</w:t>
      </w:r>
      <w:proofErr w:type="spellEnd"/>
      <w:r w:rsidRPr="008F6537">
        <w:rPr>
          <w:rFonts w:eastAsia="Times New Roman" w:cstheme="minorHAnsi"/>
          <w:b/>
          <w:color w:val="000000"/>
          <w:lang w:eastAsia="pt-BR"/>
        </w:rPr>
        <w:t xml:space="preserve"> </w:t>
      </w:r>
      <w:proofErr w:type="spellStart"/>
      <w:r w:rsidRPr="008F6537">
        <w:rPr>
          <w:rFonts w:eastAsia="Times New Roman" w:cstheme="minorHAnsi"/>
          <w:b/>
          <w:color w:val="000000"/>
          <w:lang w:eastAsia="pt-BR"/>
        </w:rPr>
        <w:t>Letter</w:t>
      </w:r>
      <w:proofErr w:type="spellEnd"/>
    </w:p>
    <w:p w:rsidR="008F6537" w:rsidRDefault="008F6537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t-BR"/>
        </w:rPr>
      </w:pPr>
    </w:p>
    <w:p w:rsidR="00C13054" w:rsidRPr="008F6537" w:rsidRDefault="008F6537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t-BR"/>
        </w:rPr>
      </w:pPr>
      <w:proofErr w:type="spellStart"/>
      <w:r>
        <w:rPr>
          <w:rFonts w:eastAsia="Times New Roman" w:cstheme="minorHAnsi"/>
          <w:b/>
          <w:color w:val="000000"/>
          <w:lang w:eastAsia="pt-BR"/>
        </w:rPr>
        <w:t>Dear</w:t>
      </w:r>
      <w:proofErr w:type="spellEnd"/>
      <w:r>
        <w:rPr>
          <w:rFonts w:eastAsia="Times New Roman" w:cstheme="minorHAnsi"/>
          <w:b/>
          <w:color w:val="000000"/>
          <w:lang w:eastAsia="pt-BR"/>
        </w:rPr>
        <w:t xml:space="preserve"> Editor,</w:t>
      </w:r>
      <w:r w:rsidR="00C13054" w:rsidRPr="008F6537">
        <w:rPr>
          <w:rFonts w:eastAsia="Times New Roman" w:cstheme="minorHAnsi"/>
          <w:b/>
          <w:color w:val="000000"/>
          <w:lang w:eastAsia="pt-BR"/>
        </w:rPr>
        <w:t xml:space="preserve"> </w:t>
      </w:r>
    </w:p>
    <w:p w:rsidR="008F6537" w:rsidRDefault="00C13054" w:rsidP="00C1305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cstheme="minorHAnsi"/>
          <w:b/>
          <w:i/>
        </w:rPr>
      </w:pPr>
      <w:proofErr w:type="spellStart"/>
      <w:r w:rsidRPr="000F4981">
        <w:rPr>
          <w:rFonts w:eastAsia="Times New Roman" w:cstheme="minorHAnsi"/>
          <w:b/>
          <w:i/>
          <w:color w:val="000000"/>
          <w:lang w:eastAsia="pt-BR"/>
        </w:rPr>
        <w:t>We</w:t>
      </w:r>
      <w:proofErr w:type="spellEnd"/>
      <w:r w:rsidRPr="000F4981">
        <w:rPr>
          <w:rFonts w:eastAsia="Times New Roman" w:cstheme="minorHAnsi"/>
          <w:b/>
          <w:i/>
          <w:color w:val="000000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000000"/>
          <w:lang w:eastAsia="pt-BR"/>
        </w:rPr>
        <w:t>appreciate</w:t>
      </w:r>
      <w:proofErr w:type="spellEnd"/>
      <w:r w:rsidRPr="000F4981">
        <w:rPr>
          <w:rFonts w:eastAsia="Times New Roman" w:cstheme="minorHAnsi"/>
          <w:b/>
          <w:i/>
          <w:color w:val="000000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000000"/>
          <w:lang w:eastAsia="pt-BR"/>
        </w:rPr>
        <w:t>your</w:t>
      </w:r>
      <w:proofErr w:type="spellEnd"/>
      <w:r w:rsidRPr="000F4981">
        <w:rPr>
          <w:rFonts w:eastAsia="Times New Roman" w:cstheme="minorHAnsi"/>
          <w:b/>
          <w:i/>
          <w:color w:val="000000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000000"/>
          <w:lang w:eastAsia="pt-BR"/>
        </w:rPr>
        <w:t>attention</w:t>
      </w:r>
      <w:proofErr w:type="spellEnd"/>
      <w:r w:rsidRPr="000F4981">
        <w:rPr>
          <w:rFonts w:eastAsia="Times New Roman" w:cstheme="minorHAnsi"/>
          <w:b/>
          <w:i/>
          <w:color w:val="000000"/>
          <w:lang w:eastAsia="pt-BR"/>
        </w:rPr>
        <w:t xml:space="preserve">. </w:t>
      </w:r>
      <w:proofErr w:type="spellStart"/>
      <w:r w:rsidRPr="000F4981">
        <w:rPr>
          <w:rFonts w:cstheme="minorHAnsi"/>
          <w:b/>
          <w:i/>
        </w:rPr>
        <w:t>Thank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you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very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much</w:t>
      </w:r>
      <w:proofErr w:type="spellEnd"/>
      <w:r w:rsidRPr="000F4981">
        <w:rPr>
          <w:rFonts w:cstheme="minorHAnsi"/>
          <w:b/>
          <w:i/>
        </w:rPr>
        <w:t xml:space="preserve"> </w:t>
      </w:r>
      <w:r w:rsidRPr="000F4981">
        <w:rPr>
          <w:rFonts w:cstheme="minorHAnsi"/>
          <w:b/>
          <w:i/>
        </w:rPr>
        <w:t xml:space="preserve">for </w:t>
      </w:r>
      <w:proofErr w:type="spellStart"/>
      <w:r w:rsidRPr="000F4981">
        <w:rPr>
          <w:rFonts w:cstheme="minorHAnsi"/>
          <w:b/>
          <w:i/>
        </w:rPr>
        <w:t>the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opportunity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to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address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0F4981">
        <w:rPr>
          <w:rFonts w:cstheme="minorHAnsi"/>
          <w:b/>
          <w:i/>
        </w:rPr>
        <w:t>the</w:t>
      </w:r>
      <w:proofErr w:type="spellEnd"/>
      <w:r w:rsidRPr="000F4981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comments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from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the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Reviewers</w:t>
      </w:r>
      <w:proofErr w:type="spellEnd"/>
      <w:r w:rsidRPr="008F6537">
        <w:rPr>
          <w:rFonts w:cstheme="minorHAnsi"/>
          <w:b/>
          <w:i/>
        </w:rPr>
        <w:t xml:space="preserve">. </w:t>
      </w:r>
      <w:proofErr w:type="spellStart"/>
      <w:r w:rsidR="008F6537" w:rsidRPr="008F6537">
        <w:rPr>
          <w:b/>
          <w:i/>
        </w:rPr>
        <w:t>We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carefully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considered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all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comments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offered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r w:rsidR="008F6537" w:rsidRPr="008F6537">
        <w:rPr>
          <w:b/>
          <w:i/>
        </w:rPr>
        <w:t>by</w:t>
      </w:r>
      <w:proofErr w:type="spellEnd"/>
      <w:r w:rsidR="008F6537" w:rsidRPr="008F6537">
        <w:rPr>
          <w:b/>
          <w:i/>
        </w:rPr>
        <w:t xml:space="preserve"> </w:t>
      </w:r>
      <w:proofErr w:type="spellStart"/>
      <w:proofErr w:type="gramStart"/>
      <w:r w:rsidR="008F6537" w:rsidRPr="008F6537">
        <w:rPr>
          <w:b/>
          <w:i/>
        </w:rPr>
        <w:t>the</w:t>
      </w:r>
      <w:proofErr w:type="spellEnd"/>
      <w:r w:rsidR="008F6537" w:rsidRPr="008F6537">
        <w:rPr>
          <w:b/>
          <w:i/>
        </w:rPr>
        <w:t xml:space="preserve">  </w:t>
      </w:r>
      <w:proofErr w:type="spellStart"/>
      <w:r w:rsidR="008F6537" w:rsidRPr="008F6537">
        <w:rPr>
          <w:b/>
          <w:i/>
        </w:rPr>
        <w:t>reviewers</w:t>
      </w:r>
      <w:proofErr w:type="spellEnd"/>
      <w:proofErr w:type="gramEnd"/>
      <w:r w:rsidR="008F6537" w:rsidRPr="008F6537">
        <w:rPr>
          <w:b/>
          <w:i/>
        </w:rPr>
        <w:t xml:space="preserve">. </w:t>
      </w:r>
      <w:r w:rsidRPr="008F6537">
        <w:rPr>
          <w:rFonts w:cstheme="minorHAnsi"/>
          <w:b/>
          <w:i/>
        </w:rPr>
        <w:t xml:space="preserve">The </w:t>
      </w:r>
      <w:proofErr w:type="spellStart"/>
      <w:r w:rsidRPr="008F6537">
        <w:rPr>
          <w:rFonts w:cstheme="minorHAnsi"/>
          <w:b/>
          <w:i/>
        </w:rPr>
        <w:t>authors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hope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that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the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Reviewers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will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be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satisfied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with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the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further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amendments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which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we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have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made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to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the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manuscript</w:t>
      </w:r>
      <w:proofErr w:type="spellEnd"/>
      <w:r w:rsidRPr="008F6537">
        <w:rPr>
          <w:rFonts w:cstheme="minorHAnsi"/>
          <w:b/>
          <w:i/>
        </w:rPr>
        <w:t xml:space="preserve">. </w:t>
      </w:r>
      <w:proofErr w:type="spellStart"/>
      <w:r w:rsidRPr="008F6537">
        <w:rPr>
          <w:rFonts w:cstheme="minorHAnsi"/>
          <w:b/>
          <w:i/>
        </w:rPr>
        <w:t>Please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see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Pr="008F6537">
        <w:rPr>
          <w:rFonts w:cstheme="minorHAnsi"/>
          <w:b/>
          <w:i/>
        </w:rPr>
        <w:t>below</w:t>
      </w:r>
      <w:proofErr w:type="spellEnd"/>
      <w:r w:rsidRPr="008F6537">
        <w:rPr>
          <w:rFonts w:cstheme="minorHAnsi"/>
          <w:b/>
          <w:i/>
        </w:rPr>
        <w:t xml:space="preserve"> </w:t>
      </w:r>
      <w:proofErr w:type="spellStart"/>
      <w:r w:rsidR="000F4981" w:rsidRPr="008F6537">
        <w:rPr>
          <w:rFonts w:cstheme="minorHAnsi"/>
          <w:b/>
          <w:i/>
        </w:rPr>
        <w:t>the</w:t>
      </w:r>
      <w:proofErr w:type="spellEnd"/>
      <w:r w:rsidR="000F4981" w:rsidRPr="008F6537">
        <w:rPr>
          <w:rFonts w:cstheme="minorHAnsi"/>
          <w:b/>
          <w:i/>
        </w:rPr>
        <w:t xml:space="preserve"> </w:t>
      </w:r>
      <w:r w:rsidR="008F6537">
        <w:rPr>
          <w:rFonts w:cstheme="minorHAnsi"/>
          <w:b/>
          <w:i/>
        </w:rPr>
        <w:t>point-</w:t>
      </w:r>
      <w:proofErr w:type="spellStart"/>
      <w:r w:rsidR="008F6537">
        <w:rPr>
          <w:rFonts w:cstheme="minorHAnsi"/>
          <w:b/>
          <w:i/>
        </w:rPr>
        <w:t>by</w:t>
      </w:r>
      <w:proofErr w:type="spellEnd"/>
      <w:r w:rsidR="008F6537">
        <w:rPr>
          <w:rFonts w:cstheme="minorHAnsi"/>
          <w:b/>
          <w:i/>
        </w:rPr>
        <w:t xml:space="preserve">-point responses </w:t>
      </w:r>
      <w:proofErr w:type="spellStart"/>
      <w:r w:rsidR="000F4981" w:rsidRPr="008F6537">
        <w:rPr>
          <w:rFonts w:cstheme="minorHAnsi"/>
          <w:b/>
          <w:i/>
        </w:rPr>
        <w:t>to</w:t>
      </w:r>
      <w:proofErr w:type="spellEnd"/>
      <w:r w:rsidR="000F4981" w:rsidRPr="008F6537">
        <w:rPr>
          <w:rFonts w:cstheme="minorHAnsi"/>
          <w:b/>
          <w:i/>
        </w:rPr>
        <w:t xml:space="preserve"> </w:t>
      </w:r>
      <w:proofErr w:type="spellStart"/>
      <w:r w:rsidR="000F4981" w:rsidRPr="008F6537">
        <w:rPr>
          <w:rFonts w:cstheme="minorHAnsi"/>
          <w:b/>
          <w:i/>
        </w:rPr>
        <w:t>the</w:t>
      </w:r>
      <w:proofErr w:type="spellEnd"/>
      <w:r w:rsidR="000F4981" w:rsidRPr="008F6537">
        <w:rPr>
          <w:rFonts w:cstheme="minorHAnsi"/>
          <w:b/>
          <w:i/>
        </w:rPr>
        <w:t xml:space="preserve"> </w:t>
      </w:r>
      <w:proofErr w:type="spellStart"/>
      <w:r w:rsidR="000F4981" w:rsidRPr="008F6537">
        <w:rPr>
          <w:rFonts w:cstheme="minorHAnsi"/>
          <w:b/>
          <w:i/>
        </w:rPr>
        <w:t>reviewers</w:t>
      </w:r>
      <w:proofErr w:type="spellEnd"/>
      <w:r w:rsidR="000F4981" w:rsidRPr="008F6537">
        <w:rPr>
          <w:rFonts w:cstheme="minorHAnsi"/>
          <w:b/>
          <w:i/>
        </w:rPr>
        <w:t xml:space="preserve">’ </w:t>
      </w:r>
      <w:proofErr w:type="spellStart"/>
      <w:r w:rsidR="000F4981" w:rsidRPr="008F6537">
        <w:rPr>
          <w:rFonts w:cstheme="minorHAnsi"/>
          <w:b/>
          <w:i/>
        </w:rPr>
        <w:t>specific</w:t>
      </w:r>
      <w:proofErr w:type="spellEnd"/>
      <w:r w:rsidR="000F4981" w:rsidRPr="008F6537">
        <w:rPr>
          <w:rFonts w:cstheme="minorHAnsi"/>
          <w:b/>
          <w:i/>
        </w:rPr>
        <w:t xml:space="preserve"> </w:t>
      </w:r>
      <w:proofErr w:type="spellStart"/>
      <w:r w:rsidR="000F4981" w:rsidRPr="008F6537">
        <w:rPr>
          <w:rFonts w:cstheme="minorHAnsi"/>
          <w:b/>
          <w:i/>
        </w:rPr>
        <w:t>comments</w:t>
      </w:r>
      <w:proofErr w:type="spellEnd"/>
      <w:r w:rsidR="008F6537">
        <w:rPr>
          <w:rFonts w:cstheme="minorHAnsi"/>
          <w:b/>
          <w:i/>
        </w:rPr>
        <w:t>.</w:t>
      </w:r>
    </w:p>
    <w:p w:rsidR="008F6537" w:rsidRDefault="008F6537" w:rsidP="008F653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Best </w:t>
      </w:r>
      <w:proofErr w:type="spellStart"/>
      <w:r>
        <w:rPr>
          <w:rFonts w:cstheme="minorHAnsi"/>
          <w:b/>
          <w:i/>
        </w:rPr>
        <w:t>regards</w:t>
      </w:r>
      <w:proofErr w:type="spellEnd"/>
      <w:r>
        <w:rPr>
          <w:rFonts w:cstheme="minorHAnsi"/>
          <w:b/>
          <w:i/>
        </w:rPr>
        <w:t>,</w:t>
      </w:r>
    </w:p>
    <w:p w:rsidR="008F6537" w:rsidRDefault="008F6537" w:rsidP="008F653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Joao Guilherme Alves</w:t>
      </w:r>
    </w:p>
    <w:p w:rsidR="00385B8A" w:rsidRPr="000F4981" w:rsidRDefault="008F6537" w:rsidP="008F653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01F1E"/>
          <w:lang w:eastAsia="pt-BR"/>
        </w:rPr>
      </w:pPr>
      <w:r>
        <w:rPr>
          <w:rFonts w:cstheme="minorHAnsi"/>
          <w:b/>
          <w:i/>
        </w:rPr>
        <w:t xml:space="preserve">- </w:t>
      </w:r>
      <w:proofErr w:type="spellStart"/>
      <w:r>
        <w:rPr>
          <w:rFonts w:cstheme="minorHAnsi"/>
          <w:b/>
          <w:i/>
        </w:rPr>
        <w:t>Corresponding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Author</w:t>
      </w:r>
      <w:proofErr w:type="spellEnd"/>
      <w:r>
        <w:rPr>
          <w:rFonts w:cstheme="minorHAnsi"/>
          <w:b/>
          <w:i/>
        </w:rPr>
        <w:t xml:space="preserve"> -</w:t>
      </w:r>
      <w:r w:rsidR="00C13054" w:rsidRPr="008F6537">
        <w:rPr>
          <w:rFonts w:cstheme="minorHAnsi"/>
          <w:b/>
          <w:i/>
        </w:rPr>
        <w:t xml:space="preserve"> </w:t>
      </w:r>
      <w:r w:rsidR="00385B8A" w:rsidRPr="00385B8A">
        <w:rPr>
          <w:rFonts w:eastAsia="Times New Roman" w:cstheme="minorHAnsi"/>
          <w:b/>
          <w:i/>
          <w:color w:val="000000"/>
          <w:lang w:eastAsia="pt-BR"/>
        </w:rPr>
        <w:br/>
      </w:r>
    </w:p>
    <w:p w:rsidR="00385B8A" w:rsidRPr="000F4981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385B8A">
        <w:rPr>
          <w:rFonts w:eastAsia="Times New Roman" w:cstheme="minorHAnsi"/>
          <w:color w:val="201F1E"/>
          <w:lang w:eastAsia="pt-BR"/>
        </w:rPr>
        <w:t>Reviewer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#2: 2. For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size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calculation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: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have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not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answer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my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question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yet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The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primary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presence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leg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cramps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while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used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calculating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size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secondary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a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substantial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issue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protocol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That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means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current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size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might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only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sufficient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secondary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Also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please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provide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function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size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calculation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The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reference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Currently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20%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dropout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rate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a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little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bit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large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And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I do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not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find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a 50%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reduction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your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referent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papers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Please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have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 xml:space="preserve"> a </w:t>
      </w:r>
      <w:proofErr w:type="spellStart"/>
      <w:r w:rsidRPr="00385B8A">
        <w:rPr>
          <w:rFonts w:eastAsia="Times New Roman" w:cstheme="minorHAnsi"/>
          <w:color w:val="201F1E"/>
          <w:lang w:eastAsia="pt-BR"/>
        </w:rPr>
        <w:t>check</w:t>
      </w:r>
      <w:proofErr w:type="spellEnd"/>
      <w:r w:rsidRPr="00385B8A">
        <w:rPr>
          <w:rFonts w:eastAsia="Times New Roman" w:cstheme="minorHAnsi"/>
          <w:color w:val="201F1E"/>
          <w:lang w:eastAsia="pt-BR"/>
        </w:rPr>
        <w:t>.</w:t>
      </w:r>
    </w:p>
    <w:p w:rsidR="00C13054" w:rsidRPr="000F4981" w:rsidRDefault="00385B8A" w:rsidP="004978E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theme="minorHAnsi"/>
          <w:b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Thank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you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for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this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observation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You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are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completely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rigth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Our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sample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size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calculated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based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on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frequency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which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is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parameter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most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used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in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trials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assessing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interventions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Systematic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reviews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have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used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frequency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 xml:space="preserve"> as a </w:t>
      </w:r>
      <w:proofErr w:type="spellStart"/>
      <w:r w:rsidR="007115A5" w:rsidRPr="000F4981">
        <w:rPr>
          <w:rFonts w:eastAsia="Times New Roman" w:cstheme="minorHAnsi"/>
          <w:b/>
          <w:i/>
          <w:color w:val="201F1E"/>
          <w:lang w:eastAsia="pt-BR"/>
        </w:rPr>
        <w:t>p</w:t>
      </w:r>
      <w:r w:rsidR="007115A5" w:rsidRPr="000F4981">
        <w:rPr>
          <w:rFonts w:cstheme="minorHAnsi"/>
          <w:b/>
        </w:rPr>
        <w:t>rimary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outcomes</w:t>
      </w:r>
      <w:proofErr w:type="spellEnd"/>
      <w:r w:rsidR="007115A5" w:rsidRPr="000F4981">
        <w:rPr>
          <w:rFonts w:cstheme="minorHAnsi"/>
          <w:b/>
        </w:rPr>
        <w:t xml:space="preserve">. </w:t>
      </w:r>
      <w:proofErr w:type="spellStart"/>
      <w:r w:rsidR="007115A5" w:rsidRPr="000F4981">
        <w:rPr>
          <w:rFonts w:cstheme="minorHAnsi"/>
          <w:b/>
        </w:rPr>
        <w:t>Based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on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this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we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changed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our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primary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outcome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from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the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presence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of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leg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cramps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to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f</w:t>
      </w:r>
      <w:r w:rsidR="007115A5" w:rsidRPr="000F4981">
        <w:rPr>
          <w:rFonts w:cstheme="minorHAnsi"/>
          <w:b/>
        </w:rPr>
        <w:t>requency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of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leg</w:t>
      </w:r>
      <w:proofErr w:type="spellEnd"/>
      <w:r w:rsidR="007115A5" w:rsidRPr="000F4981">
        <w:rPr>
          <w:rFonts w:cstheme="minorHAnsi"/>
          <w:b/>
        </w:rPr>
        <w:t xml:space="preserve"> </w:t>
      </w:r>
      <w:proofErr w:type="spellStart"/>
      <w:r w:rsidR="007115A5" w:rsidRPr="000F4981">
        <w:rPr>
          <w:rFonts w:cstheme="minorHAnsi"/>
          <w:b/>
        </w:rPr>
        <w:t>cramps</w:t>
      </w:r>
      <w:proofErr w:type="spellEnd"/>
      <w:r w:rsidR="007115A5" w:rsidRPr="000F4981">
        <w:rPr>
          <w:rFonts w:cstheme="minorHAnsi"/>
          <w:b/>
        </w:rPr>
        <w:t>.</w:t>
      </w:r>
      <w:r w:rsidR="00DC3C85" w:rsidRPr="000F4981">
        <w:rPr>
          <w:rFonts w:cstheme="minorHAnsi"/>
          <w:b/>
        </w:rPr>
        <w:t xml:space="preserve"> </w:t>
      </w:r>
    </w:p>
    <w:p w:rsidR="00C13054" w:rsidRPr="000F4981" w:rsidRDefault="00DC3C85" w:rsidP="00C13054">
      <w:pPr>
        <w:shd w:val="clear" w:color="auto" w:fill="FAFAFA"/>
        <w:ind w:firstLine="708"/>
        <w:jc w:val="center"/>
        <w:rPr>
          <w:rFonts w:cstheme="minorHAnsi"/>
          <w:b/>
        </w:rPr>
      </w:pPr>
      <w:proofErr w:type="spellStart"/>
      <w:r w:rsidRPr="000F4981">
        <w:rPr>
          <w:rFonts w:cstheme="minorHAnsi"/>
          <w:b/>
        </w:rPr>
        <w:t>Function</w:t>
      </w:r>
      <w:proofErr w:type="spellEnd"/>
      <w:r w:rsidRPr="000F4981">
        <w:rPr>
          <w:rFonts w:cstheme="minorHAnsi"/>
          <w:b/>
        </w:rPr>
        <w:t xml:space="preserve"> for </w:t>
      </w:r>
      <w:proofErr w:type="spellStart"/>
      <w:r w:rsidRPr="000F4981">
        <w:rPr>
          <w:rFonts w:cstheme="minorHAnsi"/>
          <w:b/>
        </w:rPr>
        <w:t>sample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size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was</w:t>
      </w:r>
      <w:proofErr w:type="spellEnd"/>
      <w:r w:rsidR="00CB07A2" w:rsidRPr="000F4981">
        <w:rPr>
          <w:rFonts w:cstheme="minorHAnsi"/>
          <w:b/>
        </w:rPr>
        <w:t xml:space="preserve"> </w:t>
      </w:r>
      <w:proofErr w:type="spellStart"/>
      <w:r w:rsidR="00CB07A2" w:rsidRPr="000F4981">
        <w:rPr>
          <w:rFonts w:cstheme="minorHAnsi"/>
          <w:b/>
        </w:rPr>
        <w:t>determined</w:t>
      </w:r>
      <w:proofErr w:type="spellEnd"/>
      <w:r w:rsidR="00CB07A2" w:rsidRPr="000F4981">
        <w:rPr>
          <w:rFonts w:cstheme="minorHAnsi"/>
          <w:b/>
        </w:rPr>
        <w:t xml:space="preserve"> </w:t>
      </w:r>
      <w:proofErr w:type="spellStart"/>
      <w:r w:rsidR="00CB07A2" w:rsidRPr="000F4981">
        <w:rPr>
          <w:rFonts w:cstheme="minorHAnsi"/>
          <w:b/>
        </w:rPr>
        <w:t>by</w:t>
      </w:r>
      <w:proofErr w:type="spellEnd"/>
      <w:r w:rsidR="00CB07A2" w:rsidRPr="000F4981">
        <w:rPr>
          <w:rFonts w:cstheme="minorHAnsi"/>
          <w:b/>
        </w:rPr>
        <w:t xml:space="preserve"> </w:t>
      </w:r>
      <w:proofErr w:type="spellStart"/>
      <w:r w:rsidR="00CB07A2" w:rsidRPr="000F4981">
        <w:rPr>
          <w:rFonts w:cstheme="minorHAnsi"/>
          <w:b/>
        </w:rPr>
        <w:t>the</w:t>
      </w:r>
      <w:proofErr w:type="spellEnd"/>
      <w:r w:rsidR="00CB07A2" w:rsidRPr="000F4981">
        <w:rPr>
          <w:rFonts w:cstheme="minorHAnsi"/>
          <w:b/>
        </w:rPr>
        <w:t xml:space="preserve"> software “Clinical.com” →“</w:t>
      </w:r>
      <w:proofErr w:type="spellStart"/>
      <w:r w:rsidR="00CB07A2" w:rsidRPr="000F4981">
        <w:rPr>
          <w:rFonts w:cstheme="minorHAnsi"/>
          <w:b/>
        </w:rPr>
        <w:t>Statistics</w:t>
      </w:r>
      <w:proofErr w:type="spellEnd"/>
      <w:r w:rsidR="00CB07A2" w:rsidRPr="000F4981">
        <w:rPr>
          <w:rFonts w:cstheme="minorHAnsi"/>
          <w:b/>
        </w:rPr>
        <w:t xml:space="preserve">” → </w:t>
      </w:r>
      <w:r w:rsidR="00C13054" w:rsidRPr="000F4981">
        <w:rPr>
          <w:rFonts w:cstheme="minorHAnsi"/>
          <w:b/>
        </w:rPr>
        <w:t>“</w:t>
      </w:r>
      <w:proofErr w:type="spellStart"/>
      <w:r w:rsidR="00CB07A2" w:rsidRPr="000F4981">
        <w:rPr>
          <w:rFonts w:cstheme="minorHAnsi"/>
          <w:b/>
        </w:rPr>
        <w:t>Sample</w:t>
      </w:r>
      <w:proofErr w:type="spellEnd"/>
      <w:r w:rsidR="00CB07A2" w:rsidRPr="000F4981">
        <w:rPr>
          <w:rFonts w:cstheme="minorHAnsi"/>
          <w:b/>
        </w:rPr>
        <w:t xml:space="preserve"> </w:t>
      </w:r>
      <w:proofErr w:type="spellStart"/>
      <w:r w:rsidR="00CB07A2" w:rsidRPr="000F4981">
        <w:rPr>
          <w:rFonts w:cstheme="minorHAnsi"/>
          <w:b/>
        </w:rPr>
        <w:t>Size</w:t>
      </w:r>
      <w:proofErr w:type="spellEnd"/>
      <w:r w:rsidR="00CB07A2" w:rsidRPr="000F4981">
        <w:rPr>
          <w:rFonts w:cstheme="minorHAnsi"/>
          <w:b/>
        </w:rPr>
        <w:t xml:space="preserve"> </w:t>
      </w:r>
      <w:proofErr w:type="spellStart"/>
      <w:r w:rsidR="00CB07A2" w:rsidRPr="000F4981">
        <w:rPr>
          <w:rFonts w:cstheme="minorHAnsi"/>
          <w:b/>
        </w:rPr>
        <w:t>Calculator</w:t>
      </w:r>
      <w:proofErr w:type="spellEnd"/>
      <w:r w:rsidR="00C13054" w:rsidRPr="000F4981">
        <w:rPr>
          <w:rFonts w:cstheme="minorHAnsi"/>
          <w:b/>
        </w:rPr>
        <w:t>” → “</w:t>
      </w:r>
      <w:proofErr w:type="spellStart"/>
      <w:r w:rsidR="00C13054" w:rsidRPr="000F4981">
        <w:rPr>
          <w:rFonts w:cstheme="minorHAnsi"/>
          <w:b/>
        </w:rPr>
        <w:t>View</w:t>
      </w:r>
      <w:proofErr w:type="spellEnd"/>
      <w:r w:rsidR="00C13054" w:rsidRPr="000F4981">
        <w:rPr>
          <w:rFonts w:cstheme="minorHAnsi"/>
          <w:b/>
        </w:rPr>
        <w:t xml:space="preserve"> Power </w:t>
      </w:r>
      <w:proofErr w:type="spellStart"/>
      <w:r w:rsidR="00C13054" w:rsidRPr="000F4981">
        <w:rPr>
          <w:rFonts w:cstheme="minorHAnsi"/>
          <w:b/>
        </w:rPr>
        <w:t>Calculations</w:t>
      </w:r>
      <w:proofErr w:type="spellEnd"/>
      <w:r w:rsidR="00C13054" w:rsidRPr="000F4981">
        <w:rPr>
          <w:rFonts w:cstheme="minorHAnsi"/>
          <w:b/>
        </w:rPr>
        <w:t xml:space="preserve">”: </w:t>
      </w:r>
    </w:p>
    <w:p w:rsidR="00C13054" w:rsidRPr="000F4981" w:rsidRDefault="00C13054" w:rsidP="00C13054">
      <w:pPr>
        <w:shd w:val="clear" w:color="auto" w:fill="FAFAFA"/>
        <w:ind w:firstLine="708"/>
        <w:rPr>
          <w:rFonts w:eastAsia="Times New Roman" w:cstheme="minorHAnsi"/>
          <w:b/>
          <w:color w:val="222222"/>
          <w:lang w:eastAsia="pt-BR"/>
        </w:rPr>
      </w:pP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N1={z1−α/2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p¯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q¯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(1+1k−−−−−−−−−−−√)+z1−β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p1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q1+(p2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q2k−−−−−−−−−−−−−−√)}2/Δ2q1=1−p1q2=1−p2p¯=p1+kp21+Kq¯=1−p¯N1={1.96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0.57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0.43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(1+11−−−−−−−−−−−−−−−√)+0.84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0.7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0.3+(0.45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0.551−−−−−−−−−−−−−−−−−−√)}2/0.252N1=60N2=K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N1=60N1={z1−α/2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¯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¯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(1+1k)+z1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−β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p1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q1+(p2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q2k)}2/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Δ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2q1=1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−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p1q2=1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−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p2p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¯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=p1+kp21+Kq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¯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=1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−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p</w:t>
      </w:r>
      <w:r w:rsidRPr="000F4981">
        <w:rPr>
          <w:rFonts w:ascii="Calibri" w:eastAsia="Times New Roman" w:hAnsi="Calibri" w:cs="Calibri"/>
          <w:b/>
          <w:color w:val="222222"/>
          <w:bdr w:val="none" w:sz="0" w:space="0" w:color="auto" w:frame="1"/>
          <w:lang w:eastAsia="pt-BR"/>
        </w:rPr>
        <w:t>¯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N1={1.96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0.57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0.43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(1+11)+0.84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0.7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0.3+(0.45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0.551)}2/0.252N1=60N2=K</w:t>
      </w:r>
      <w:r w:rsidRPr="000F4981">
        <w:rPr>
          <w:rFonts w:ascii="Cambria Math" w:eastAsia="Times New Roman" w:hAnsi="Cambria Math" w:cs="Cambria Math"/>
          <w:b/>
          <w:color w:val="222222"/>
          <w:bdr w:val="none" w:sz="0" w:space="0" w:color="auto" w:frame="1"/>
          <w:lang w:eastAsia="pt-BR"/>
        </w:rPr>
        <w:t>∗</w:t>
      </w:r>
      <w:r w:rsidRPr="000F4981">
        <w:rPr>
          <w:rFonts w:eastAsia="Times New Roman" w:cstheme="minorHAnsi"/>
          <w:b/>
          <w:color w:val="222222"/>
          <w:bdr w:val="none" w:sz="0" w:space="0" w:color="auto" w:frame="1"/>
          <w:lang w:eastAsia="pt-BR"/>
        </w:rPr>
        <w:t>N1=60</w:t>
      </w:r>
    </w:p>
    <w:p w:rsidR="00C13054" w:rsidRPr="00C13054" w:rsidRDefault="00C13054" w:rsidP="00C13054">
      <w:pPr>
        <w:shd w:val="clear" w:color="auto" w:fill="F0F0F0"/>
        <w:spacing w:after="0" w:line="240" w:lineRule="auto"/>
        <w:rPr>
          <w:rFonts w:eastAsia="Times New Roman" w:cstheme="minorHAnsi"/>
          <w:b/>
          <w:color w:val="222222"/>
          <w:lang w:eastAsia="pt-BR"/>
        </w:rPr>
      </w:pPr>
      <w:r w:rsidRPr="00C13054">
        <w:rPr>
          <w:rFonts w:eastAsia="Times New Roman" w:cstheme="minorHAnsi"/>
          <w:b/>
          <w:color w:val="222222"/>
          <w:lang w:eastAsia="pt-BR"/>
        </w:rPr>
        <w:br/>
      </w:r>
      <w:proofErr w:type="gramStart"/>
      <w:r w:rsidRPr="00C13054">
        <w:rPr>
          <w:rFonts w:eastAsia="Times New Roman" w:cstheme="minorHAnsi"/>
          <w:b/>
          <w:color w:val="222222"/>
          <w:lang w:eastAsia="pt-BR"/>
        </w:rPr>
        <w:t>p</w:t>
      </w:r>
      <w:proofErr w:type="gramEnd"/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1</w:t>
      </w:r>
      <w:r w:rsidRPr="00C13054">
        <w:rPr>
          <w:rFonts w:eastAsia="Times New Roman" w:cstheme="minorHAnsi"/>
          <w:b/>
          <w:color w:val="222222"/>
          <w:lang w:eastAsia="pt-BR"/>
        </w:rPr>
        <w:t>, p</w:t>
      </w:r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2</w:t>
      </w:r>
      <w:r w:rsidRPr="00C13054">
        <w:rPr>
          <w:rFonts w:eastAsia="Times New Roman" w:cstheme="minorHAnsi"/>
          <w:b/>
          <w:color w:val="222222"/>
          <w:lang w:eastAsia="pt-BR"/>
        </w:rPr>
        <w:t xml:space="preserve"> 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proportion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(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incidence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)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of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groups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#1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and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#2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>Δ = |p</w:t>
      </w:r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2</w:t>
      </w:r>
      <w:r w:rsidRPr="00C13054">
        <w:rPr>
          <w:rFonts w:eastAsia="Times New Roman" w:cstheme="minorHAnsi"/>
          <w:b/>
          <w:color w:val="222222"/>
          <w:lang w:eastAsia="pt-BR"/>
        </w:rPr>
        <w:t>-p</w:t>
      </w:r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1</w:t>
      </w:r>
      <w:r w:rsidRPr="00C13054">
        <w:rPr>
          <w:rFonts w:eastAsia="Times New Roman" w:cstheme="minorHAnsi"/>
          <w:b/>
          <w:color w:val="222222"/>
          <w:lang w:eastAsia="pt-BR"/>
        </w:rPr>
        <w:t xml:space="preserve">| 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absolute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difference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between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two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proportions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br/>
        <w:t>n</w:t>
      </w:r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1</w:t>
      </w:r>
      <w:r w:rsidRPr="00C13054">
        <w:rPr>
          <w:rFonts w:eastAsia="Times New Roman" w:cstheme="minorHAnsi"/>
          <w:b/>
          <w:color w:val="222222"/>
          <w:lang w:eastAsia="pt-BR"/>
        </w:rPr>
        <w:t xml:space="preserve"> 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sample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size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for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group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#1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>n</w:t>
      </w:r>
      <w:r w:rsidRPr="00C13054">
        <w:rPr>
          <w:rFonts w:eastAsia="Times New Roman" w:cstheme="minorHAnsi"/>
          <w:b/>
          <w:color w:val="222222"/>
          <w:vertAlign w:val="subscript"/>
          <w:lang w:eastAsia="pt-BR"/>
        </w:rPr>
        <w:t>2</w:t>
      </w:r>
      <w:r w:rsidRPr="00C13054">
        <w:rPr>
          <w:rFonts w:eastAsia="Times New Roman" w:cstheme="minorHAnsi"/>
          <w:b/>
          <w:color w:val="222222"/>
          <w:lang w:eastAsia="pt-BR"/>
        </w:rPr>
        <w:t xml:space="preserve"> 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sample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size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for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group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#2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 xml:space="preserve">α 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probability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of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type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I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error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(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usually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0.05)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 xml:space="preserve">β 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probability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of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type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II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error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(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usually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0.2)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 xml:space="preserve">z 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critical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Z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value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for a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given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α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or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β</w:t>
      </w:r>
      <w:r w:rsidRPr="00C13054">
        <w:rPr>
          <w:rFonts w:eastAsia="Times New Roman" w:cstheme="minorHAnsi"/>
          <w:b/>
          <w:color w:val="222222"/>
          <w:lang w:eastAsia="pt-BR"/>
        </w:rPr>
        <w:br/>
        <w:t xml:space="preserve">K =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ratio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of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sample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size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for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group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#2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to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</w:t>
      </w:r>
      <w:proofErr w:type="spellStart"/>
      <w:r w:rsidRPr="00C13054">
        <w:rPr>
          <w:rFonts w:eastAsia="Times New Roman" w:cstheme="minorHAnsi"/>
          <w:b/>
          <w:color w:val="222222"/>
          <w:lang w:eastAsia="pt-BR"/>
        </w:rPr>
        <w:t>group</w:t>
      </w:r>
      <w:proofErr w:type="spellEnd"/>
      <w:r w:rsidRPr="00C13054">
        <w:rPr>
          <w:rFonts w:eastAsia="Times New Roman" w:cstheme="minorHAnsi"/>
          <w:b/>
          <w:color w:val="222222"/>
          <w:lang w:eastAsia="pt-BR"/>
        </w:rPr>
        <w:t xml:space="preserve"> #1</w:t>
      </w:r>
    </w:p>
    <w:p w:rsidR="00C13054" w:rsidRPr="000F4981" w:rsidRDefault="00DC3C85" w:rsidP="00C1305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cstheme="minorHAnsi"/>
          <w:b/>
        </w:rPr>
      </w:pPr>
      <w:r w:rsidRPr="000F4981">
        <w:rPr>
          <w:rFonts w:cstheme="minorHAnsi"/>
          <w:b/>
        </w:rPr>
        <w:lastRenderedPageBreak/>
        <w:t xml:space="preserve">The 20% </w:t>
      </w:r>
      <w:proofErr w:type="spellStart"/>
      <w:r w:rsidRPr="000F4981">
        <w:rPr>
          <w:rFonts w:cstheme="minorHAnsi"/>
          <w:b/>
        </w:rPr>
        <w:t>dropout</w:t>
      </w:r>
      <w:proofErr w:type="spellEnd"/>
      <w:r w:rsidRPr="000F4981">
        <w:rPr>
          <w:rFonts w:cstheme="minorHAnsi"/>
          <w:b/>
        </w:rPr>
        <w:t xml:space="preserve"> rate </w:t>
      </w:r>
      <w:proofErr w:type="spellStart"/>
      <w:r w:rsidRPr="000F4981">
        <w:rPr>
          <w:rFonts w:cstheme="minorHAnsi"/>
          <w:b/>
        </w:rPr>
        <w:t>is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really</w:t>
      </w:r>
      <w:proofErr w:type="spellEnd"/>
      <w:r w:rsidR="00C13054" w:rsidRPr="000F4981">
        <w:rPr>
          <w:rFonts w:cstheme="minorHAnsi"/>
          <w:b/>
        </w:rPr>
        <w:t xml:space="preserve"> </w:t>
      </w:r>
      <w:r w:rsidRPr="000F4981">
        <w:rPr>
          <w:rFonts w:cstheme="minorHAnsi"/>
          <w:b/>
        </w:rPr>
        <w:t xml:space="preserve">a </w:t>
      </w:r>
      <w:proofErr w:type="spellStart"/>
      <w:r w:rsidRPr="000F4981">
        <w:rPr>
          <w:rFonts w:cstheme="minorHAnsi"/>
          <w:b/>
        </w:rPr>
        <w:t>little</w:t>
      </w:r>
      <w:proofErr w:type="spellEnd"/>
      <w:r w:rsidRPr="000F4981">
        <w:rPr>
          <w:rFonts w:cstheme="minorHAnsi"/>
          <w:b/>
        </w:rPr>
        <w:t xml:space="preserve"> big</w:t>
      </w:r>
      <w:r w:rsidR="00C13054" w:rsidRPr="000F4981">
        <w:rPr>
          <w:rFonts w:cstheme="minorHAnsi"/>
          <w:b/>
        </w:rPr>
        <w:t xml:space="preserve">. </w:t>
      </w:r>
      <w:proofErr w:type="spellStart"/>
      <w:r w:rsidR="00C13054" w:rsidRPr="000F4981">
        <w:rPr>
          <w:rFonts w:cstheme="minorHAnsi"/>
          <w:b/>
        </w:rPr>
        <w:t>However</w:t>
      </w:r>
      <w:proofErr w:type="spellEnd"/>
      <w:r w:rsidR="00C13054" w:rsidRPr="000F4981">
        <w:rPr>
          <w:rFonts w:cstheme="minorHAnsi"/>
          <w:b/>
        </w:rPr>
        <w:t xml:space="preserve">, </w:t>
      </w:r>
      <w:proofErr w:type="spellStart"/>
      <w:r w:rsidRPr="000F4981">
        <w:rPr>
          <w:rFonts w:cstheme="minorHAnsi"/>
          <w:b/>
        </w:rPr>
        <w:t>we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lost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to</w:t>
      </w:r>
      <w:proofErr w:type="spellEnd"/>
      <w:r w:rsidRPr="000F4981">
        <w:rPr>
          <w:rFonts w:cstheme="minorHAnsi"/>
          <w:b/>
        </w:rPr>
        <w:t xml:space="preserve"> follow-up </w:t>
      </w:r>
      <w:proofErr w:type="spellStart"/>
      <w:r w:rsidRPr="000F4981">
        <w:rPr>
          <w:rFonts w:cstheme="minorHAnsi"/>
          <w:b/>
        </w:rPr>
        <w:t>only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two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participants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and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we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studied</w:t>
      </w:r>
      <w:proofErr w:type="spellEnd"/>
      <w:r w:rsidR="00C13054" w:rsidRPr="000F4981">
        <w:rPr>
          <w:rFonts w:cstheme="minorHAnsi"/>
          <w:b/>
        </w:rPr>
        <w:t xml:space="preserve"> 66 </w:t>
      </w:r>
      <w:proofErr w:type="spellStart"/>
      <w:r w:rsidR="00C13054" w:rsidRPr="000F4981">
        <w:rPr>
          <w:rFonts w:cstheme="minorHAnsi"/>
          <w:b/>
        </w:rPr>
        <w:t>p</w:t>
      </w:r>
      <w:r w:rsidR="000F4981">
        <w:rPr>
          <w:rFonts w:cstheme="minorHAnsi"/>
          <w:b/>
        </w:rPr>
        <w:t>regnant</w:t>
      </w:r>
      <w:proofErr w:type="spellEnd"/>
      <w:r w:rsidR="000F4981">
        <w:rPr>
          <w:rFonts w:cstheme="minorHAnsi"/>
          <w:b/>
        </w:rPr>
        <w:t xml:space="preserve"> </w:t>
      </w:r>
      <w:proofErr w:type="spellStart"/>
      <w:r w:rsidR="000F4981">
        <w:rPr>
          <w:rFonts w:cstheme="minorHAnsi"/>
          <w:b/>
        </w:rPr>
        <w:t>women</w:t>
      </w:r>
      <w:proofErr w:type="spellEnd"/>
      <w:r w:rsidR="000F4981">
        <w:rPr>
          <w:rFonts w:cstheme="minorHAnsi"/>
          <w:b/>
        </w:rPr>
        <w:t xml:space="preserve"> </w:t>
      </w:r>
      <w:r w:rsidR="00C13054" w:rsidRPr="000F4981">
        <w:rPr>
          <w:rFonts w:cstheme="minorHAnsi"/>
          <w:b/>
        </w:rPr>
        <w:t xml:space="preserve">in </w:t>
      </w:r>
      <w:proofErr w:type="spellStart"/>
      <w:r w:rsidR="00C13054" w:rsidRPr="000F4981">
        <w:rPr>
          <w:rFonts w:cstheme="minorHAnsi"/>
          <w:b/>
        </w:rPr>
        <w:t>each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arm</w:t>
      </w:r>
      <w:proofErr w:type="spellEnd"/>
      <w:r w:rsidR="00C13054" w:rsidRPr="000F4981">
        <w:rPr>
          <w:rFonts w:cstheme="minorHAnsi"/>
          <w:b/>
        </w:rPr>
        <w:t xml:space="preserve">, </w:t>
      </w:r>
      <w:proofErr w:type="spellStart"/>
      <w:r w:rsidR="00C13054" w:rsidRPr="000F4981">
        <w:rPr>
          <w:rFonts w:cstheme="minorHAnsi"/>
          <w:b/>
        </w:rPr>
        <w:t>this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allow</w:t>
      </w:r>
      <w:r w:rsidR="000F4981">
        <w:rPr>
          <w:rFonts w:cstheme="minorHAnsi"/>
          <w:b/>
        </w:rPr>
        <w:t>ed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us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to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reduce</w:t>
      </w:r>
      <w:proofErr w:type="spellEnd"/>
      <w:r w:rsidR="00C13054" w:rsidRPr="000F4981">
        <w:rPr>
          <w:rFonts w:cstheme="minorHAnsi"/>
          <w:b/>
        </w:rPr>
        <w:t xml:space="preserve"> de </w:t>
      </w:r>
      <w:proofErr w:type="spellStart"/>
      <w:r w:rsidR="00C13054" w:rsidRPr="000F4981">
        <w:rPr>
          <w:rFonts w:cstheme="minorHAnsi"/>
          <w:b/>
        </w:rPr>
        <w:t>drop</w:t>
      </w:r>
      <w:proofErr w:type="spellEnd"/>
      <w:r w:rsidR="00C13054" w:rsidRPr="000F4981">
        <w:rPr>
          <w:rFonts w:cstheme="minorHAnsi"/>
          <w:b/>
        </w:rPr>
        <w:t xml:space="preserve"> out </w:t>
      </w:r>
      <w:proofErr w:type="spellStart"/>
      <w:r w:rsidR="00C13054" w:rsidRPr="000F4981">
        <w:rPr>
          <w:rFonts w:cstheme="minorHAnsi"/>
          <w:b/>
        </w:rPr>
        <w:t>to</w:t>
      </w:r>
      <w:proofErr w:type="spellEnd"/>
      <w:r w:rsidR="00C13054" w:rsidRPr="000F4981">
        <w:rPr>
          <w:rFonts w:cstheme="minorHAnsi"/>
          <w:b/>
        </w:rPr>
        <w:t xml:space="preserve"> 10% in </w:t>
      </w:r>
      <w:proofErr w:type="spellStart"/>
      <w:r w:rsidR="00C13054" w:rsidRPr="000F4981">
        <w:rPr>
          <w:rFonts w:cstheme="minorHAnsi"/>
          <w:b/>
        </w:rPr>
        <w:t>our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sample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size</w:t>
      </w:r>
      <w:proofErr w:type="spellEnd"/>
      <w:r w:rsidR="00C13054" w:rsidRPr="000F4981">
        <w:rPr>
          <w:rFonts w:cstheme="minorHAnsi"/>
          <w:b/>
        </w:rPr>
        <w:t xml:space="preserve"> </w:t>
      </w:r>
      <w:proofErr w:type="spellStart"/>
      <w:r w:rsidR="00C13054" w:rsidRPr="000F4981">
        <w:rPr>
          <w:rFonts w:cstheme="minorHAnsi"/>
          <w:b/>
        </w:rPr>
        <w:t>calculation</w:t>
      </w:r>
      <w:proofErr w:type="spellEnd"/>
      <w:r w:rsidR="000F4981">
        <w:rPr>
          <w:rFonts w:cstheme="minorHAnsi"/>
          <w:b/>
        </w:rPr>
        <w:t xml:space="preserve"> (60 + 6 = 66)</w:t>
      </w:r>
      <w:r w:rsidR="00C13054" w:rsidRPr="000F4981">
        <w:rPr>
          <w:rFonts w:cstheme="minorHAnsi"/>
          <w:b/>
        </w:rPr>
        <w:t xml:space="preserve">. </w:t>
      </w:r>
    </w:p>
    <w:p w:rsidR="00DC3C85" w:rsidRPr="000F4981" w:rsidRDefault="00DC3C85" w:rsidP="00C1305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cstheme="minorHAnsi"/>
          <w:b/>
        </w:rPr>
      </w:pPr>
      <w:r w:rsidRPr="000F4981">
        <w:rPr>
          <w:rFonts w:cstheme="minorHAnsi"/>
          <w:b/>
        </w:rPr>
        <w:t xml:space="preserve">A 50% </w:t>
      </w:r>
      <w:proofErr w:type="spellStart"/>
      <w:r w:rsidRPr="000F4981">
        <w:rPr>
          <w:rFonts w:cstheme="minorHAnsi"/>
          <w:b/>
        </w:rPr>
        <w:t>reduction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was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cited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by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Supakatisant</w:t>
      </w:r>
      <w:proofErr w:type="spellEnd"/>
      <w:r w:rsidRPr="000F4981">
        <w:rPr>
          <w:rFonts w:cstheme="minorHAnsi"/>
          <w:b/>
        </w:rPr>
        <w:t xml:space="preserve"> C, </w:t>
      </w:r>
      <w:proofErr w:type="spellStart"/>
      <w:r w:rsidRPr="000F4981">
        <w:rPr>
          <w:rFonts w:cstheme="minorHAnsi"/>
          <w:b/>
        </w:rPr>
        <w:t>Phupong</w:t>
      </w:r>
      <w:proofErr w:type="spellEnd"/>
      <w:r w:rsidRPr="000F4981">
        <w:rPr>
          <w:rFonts w:cstheme="minorHAnsi"/>
          <w:b/>
        </w:rPr>
        <w:t xml:space="preserve"> V</w:t>
      </w:r>
      <w:r w:rsidRPr="000F4981">
        <w:rPr>
          <w:rFonts w:cstheme="minorHAnsi"/>
          <w:b/>
        </w:rPr>
        <w:t xml:space="preserve">, </w:t>
      </w:r>
      <w:proofErr w:type="spellStart"/>
      <w:r w:rsidRPr="000F4981">
        <w:rPr>
          <w:rFonts w:cstheme="minorHAnsi"/>
          <w:b/>
        </w:rPr>
        <w:t>reference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number</w:t>
      </w:r>
      <w:proofErr w:type="spellEnd"/>
      <w:r w:rsidRPr="000F4981">
        <w:rPr>
          <w:rFonts w:cstheme="minorHAnsi"/>
          <w:b/>
        </w:rPr>
        <w:t xml:space="preserve"> 16 (</w:t>
      </w:r>
      <w:r w:rsidRPr="000F4981">
        <w:rPr>
          <w:rFonts w:cstheme="minorHAnsi"/>
          <w:b/>
        </w:rPr>
        <w:t xml:space="preserve">Oral </w:t>
      </w:r>
      <w:proofErr w:type="spellStart"/>
      <w:r w:rsidRPr="000F4981">
        <w:rPr>
          <w:rFonts w:cstheme="minorHAnsi"/>
          <w:b/>
        </w:rPr>
        <w:t>magnesium</w:t>
      </w:r>
      <w:proofErr w:type="spellEnd"/>
      <w:r w:rsidRPr="000F4981">
        <w:rPr>
          <w:rFonts w:cstheme="minorHAnsi"/>
          <w:b/>
        </w:rPr>
        <w:t xml:space="preserve"> for </w:t>
      </w:r>
      <w:proofErr w:type="spellStart"/>
      <w:r w:rsidRPr="000F4981">
        <w:rPr>
          <w:rFonts w:cstheme="minorHAnsi"/>
          <w:b/>
        </w:rPr>
        <w:t>relief</w:t>
      </w:r>
      <w:proofErr w:type="spellEnd"/>
      <w:r w:rsidRPr="000F4981">
        <w:rPr>
          <w:rFonts w:cstheme="minorHAnsi"/>
          <w:b/>
        </w:rPr>
        <w:t xml:space="preserve"> in </w:t>
      </w:r>
      <w:proofErr w:type="spellStart"/>
      <w:r w:rsidRPr="000F4981">
        <w:rPr>
          <w:rFonts w:cstheme="minorHAnsi"/>
          <w:b/>
        </w:rPr>
        <w:t>pregnancy-induced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leg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cramps</w:t>
      </w:r>
      <w:proofErr w:type="spellEnd"/>
      <w:r w:rsidRPr="000F4981">
        <w:rPr>
          <w:rFonts w:cstheme="minorHAnsi"/>
          <w:b/>
        </w:rPr>
        <w:t xml:space="preserve">: a </w:t>
      </w:r>
      <w:proofErr w:type="spellStart"/>
      <w:r w:rsidRPr="000F4981">
        <w:rPr>
          <w:rFonts w:cstheme="minorHAnsi"/>
          <w:b/>
        </w:rPr>
        <w:t>randomised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controlled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trial</w:t>
      </w:r>
      <w:proofErr w:type="spellEnd"/>
      <w:r w:rsidRPr="000F4981">
        <w:rPr>
          <w:rFonts w:cstheme="minorHAnsi"/>
          <w:b/>
        </w:rPr>
        <w:t xml:space="preserve">. </w:t>
      </w:r>
      <w:r w:rsidRPr="000F4981">
        <w:rPr>
          <w:rFonts w:cstheme="minorHAnsi"/>
          <w:b/>
          <w:i/>
          <w:iCs/>
        </w:rPr>
        <w:t xml:space="preserve">Maternal &amp; </w:t>
      </w:r>
      <w:proofErr w:type="spellStart"/>
      <w:r w:rsidRPr="000F4981">
        <w:rPr>
          <w:rFonts w:cstheme="minorHAnsi"/>
          <w:b/>
          <w:i/>
          <w:iCs/>
        </w:rPr>
        <w:t>Child</w:t>
      </w:r>
      <w:proofErr w:type="spellEnd"/>
      <w:r w:rsidRPr="000F4981">
        <w:rPr>
          <w:rFonts w:cstheme="minorHAnsi"/>
          <w:b/>
          <w:i/>
          <w:iCs/>
        </w:rPr>
        <w:t xml:space="preserve"> </w:t>
      </w:r>
      <w:proofErr w:type="spellStart"/>
      <w:r w:rsidRPr="000F4981">
        <w:rPr>
          <w:rFonts w:cstheme="minorHAnsi"/>
          <w:b/>
          <w:i/>
          <w:iCs/>
        </w:rPr>
        <w:t>Nutrition</w:t>
      </w:r>
      <w:proofErr w:type="spellEnd"/>
      <w:r w:rsidRPr="000F4981">
        <w:rPr>
          <w:rFonts w:cstheme="minorHAnsi"/>
          <w:b/>
          <w:i/>
          <w:iCs/>
        </w:rPr>
        <w:t xml:space="preserve"> </w:t>
      </w:r>
      <w:r w:rsidRPr="000F4981">
        <w:rPr>
          <w:rFonts w:cstheme="minorHAnsi"/>
          <w:b/>
        </w:rPr>
        <w:t xml:space="preserve">2015; </w:t>
      </w:r>
      <w:r w:rsidRPr="000F4981">
        <w:rPr>
          <w:rFonts w:cstheme="minorHAnsi"/>
          <w:b/>
          <w:bCs/>
        </w:rPr>
        <w:t>11</w:t>
      </w:r>
      <w:r w:rsidRPr="000F4981">
        <w:rPr>
          <w:rFonts w:cstheme="minorHAnsi"/>
          <w:b/>
        </w:rPr>
        <w:t>(2):139–145</w:t>
      </w:r>
      <w:r w:rsidRPr="000F4981">
        <w:rPr>
          <w:rFonts w:cstheme="minorHAnsi"/>
          <w:b/>
        </w:rPr>
        <w:t xml:space="preserve">), </w:t>
      </w:r>
      <w:proofErr w:type="spellStart"/>
      <w:r w:rsidRPr="000F4981">
        <w:rPr>
          <w:rFonts w:cstheme="minorHAnsi"/>
          <w:b/>
        </w:rPr>
        <w:t>methods</w:t>
      </w:r>
      <w:proofErr w:type="spellEnd"/>
      <w:r w:rsidRPr="000F4981">
        <w:rPr>
          <w:rFonts w:cstheme="minorHAnsi"/>
          <w:b/>
        </w:rPr>
        <w:t xml:space="preserve"> </w:t>
      </w:r>
      <w:proofErr w:type="spellStart"/>
      <w:r w:rsidRPr="000F4981">
        <w:rPr>
          <w:rFonts w:cstheme="minorHAnsi"/>
          <w:b/>
        </w:rPr>
        <w:t>section</w:t>
      </w:r>
      <w:proofErr w:type="spellEnd"/>
      <w:r w:rsidRPr="000F4981">
        <w:rPr>
          <w:rFonts w:cstheme="minorHAnsi"/>
          <w:b/>
        </w:rPr>
        <w:t>, “</w:t>
      </w:r>
      <w:r w:rsidRPr="000F4981">
        <w:rPr>
          <w:rFonts w:cstheme="minorHAnsi"/>
          <w:b/>
          <w:color w:val="1C1D1E"/>
          <w:shd w:val="clear" w:color="auto" w:fill="FFFFFF"/>
        </w:rPr>
        <w:t xml:space="preserve">The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sample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size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calculation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was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based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upon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the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50%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reduction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in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frequency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of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leg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cramps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in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both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groups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obtained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from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Dahle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> </w:t>
      </w:r>
      <w:r w:rsidRPr="000F4981">
        <w:rPr>
          <w:rFonts w:cstheme="minorHAnsi"/>
          <w:b/>
          <w:i/>
          <w:iCs/>
          <w:color w:val="1C1D1E"/>
          <w:shd w:val="clear" w:color="auto" w:fill="FFFFFF"/>
        </w:rPr>
        <w:t>et </w:t>
      </w:r>
      <w:proofErr w:type="spellStart"/>
      <w:r w:rsidRPr="000F4981">
        <w:rPr>
          <w:rFonts w:cstheme="minorHAnsi"/>
          <w:b/>
          <w:i/>
          <w:iCs/>
          <w:color w:val="1C1D1E"/>
          <w:shd w:val="clear" w:color="auto" w:fill="FFFFFF"/>
        </w:rPr>
        <w:t>al</w:t>
      </w:r>
      <w:r w:rsidRPr="000F4981">
        <w:rPr>
          <w:rFonts w:cstheme="minorHAnsi"/>
          <w:b/>
          <w:color w:val="1C1D1E"/>
          <w:shd w:val="clear" w:color="auto" w:fill="FFFFFF"/>
        </w:rPr>
        <w:t>.'s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study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 xml:space="preserve"> (</w:t>
      </w:r>
      <w:proofErr w:type="spellStart"/>
      <w:r w:rsidRPr="000F4981">
        <w:rPr>
          <w:rFonts w:cstheme="minorHAnsi"/>
          <w:b/>
          <w:color w:val="1C1D1E"/>
          <w:shd w:val="clear" w:color="auto" w:fill="FFFFFF"/>
        </w:rPr>
        <w:t>Dahle</w:t>
      </w:r>
      <w:proofErr w:type="spellEnd"/>
      <w:r w:rsidRPr="000F4981">
        <w:rPr>
          <w:rFonts w:cstheme="minorHAnsi"/>
          <w:b/>
          <w:color w:val="1C1D1E"/>
          <w:shd w:val="clear" w:color="auto" w:fill="FFFFFF"/>
        </w:rPr>
        <w:t> </w:t>
      </w:r>
      <w:r w:rsidRPr="000F4981">
        <w:rPr>
          <w:rFonts w:cstheme="minorHAnsi"/>
          <w:b/>
          <w:i/>
          <w:iCs/>
          <w:color w:val="1C1D1E"/>
          <w:shd w:val="clear" w:color="auto" w:fill="FFFFFF"/>
        </w:rPr>
        <w:t>et al</w:t>
      </w:r>
      <w:r w:rsidRPr="000F4981">
        <w:rPr>
          <w:rFonts w:cstheme="minorHAnsi"/>
          <w:b/>
          <w:color w:val="1C1D1E"/>
          <w:shd w:val="clear" w:color="auto" w:fill="FFFFFF"/>
        </w:rPr>
        <w:t>. </w:t>
      </w:r>
      <w:hyperlink r:id="rId5" w:anchor="mcn440-bib-0002" w:history="1">
        <w:proofErr w:type="gramStart"/>
        <w:r w:rsidRPr="000F4981">
          <w:rPr>
            <w:rStyle w:val="Hyperlink"/>
            <w:rFonts w:cstheme="minorHAnsi"/>
            <w:b/>
            <w:bCs/>
            <w:color w:val="000000"/>
          </w:rPr>
          <w:t>1995</w:t>
        </w:r>
      </w:hyperlink>
      <w:r w:rsidRPr="000F4981">
        <w:rPr>
          <w:rFonts w:cstheme="minorHAnsi"/>
          <w:b/>
          <w:color w:val="1C1D1E"/>
          <w:shd w:val="clear" w:color="auto" w:fill="FFFFFF"/>
        </w:rPr>
        <w:t>)</w:t>
      </w:r>
      <w:r w:rsidRPr="000F4981">
        <w:rPr>
          <w:rFonts w:cstheme="minorHAnsi"/>
          <w:b/>
          <w:color w:val="1C1D1E"/>
          <w:shd w:val="clear" w:color="auto" w:fill="FFFFFF"/>
        </w:rPr>
        <w:t>”</w:t>
      </w:r>
      <w:proofErr w:type="gramEnd"/>
      <w:r w:rsidRPr="000F4981">
        <w:rPr>
          <w:rFonts w:cstheme="minorHAnsi"/>
          <w:b/>
          <w:color w:val="1C1D1E"/>
          <w:shd w:val="clear" w:color="auto" w:fill="FFFFFF"/>
        </w:rPr>
        <w:t>.</w:t>
      </w:r>
    </w:p>
    <w:p w:rsidR="00385B8A" w:rsidRPr="000F4981" w:rsidRDefault="007115A5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01F1E"/>
          <w:lang w:eastAsia="pt-BR"/>
        </w:rPr>
      </w:pPr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r w:rsidRPr="000F4981">
        <w:rPr>
          <w:rFonts w:eastAsia="Times New Roman" w:cstheme="minorHAnsi"/>
          <w:b/>
          <w:color w:val="201F1E"/>
          <w:lang w:eastAsia="pt-BR"/>
        </w:rPr>
        <w:t xml:space="preserve">  </w:t>
      </w:r>
    </w:p>
    <w:p w:rsidR="004978E3" w:rsidRPr="000F4981" w:rsidRDefault="004978E3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0F4981">
        <w:rPr>
          <w:rFonts w:eastAsia="Times New Roman" w:cstheme="minorHAnsi"/>
          <w:color w:val="201F1E"/>
          <w:lang w:eastAsia="pt-BR"/>
        </w:rPr>
        <w:t>3.</w:t>
      </w:r>
      <w:r w:rsidR="00385B8A" w:rsidRPr="000F4981">
        <w:rPr>
          <w:rFonts w:eastAsia="Times New Roman" w:cstheme="minorHAnsi"/>
          <w:color w:val="201F1E"/>
          <w:lang w:eastAsia="pt-BR"/>
        </w:rPr>
        <w:t xml:space="preserve">For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missing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value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: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flwo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chart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all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66*2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were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included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however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table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2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64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treatment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64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control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group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were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included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analyses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While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actually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overall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number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placebo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66.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Please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re-check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numbers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Many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other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inconsistences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manuscript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. For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example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tbale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1, 36 in Mg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group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30 in placebo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group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were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currently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employed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;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while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in total, 68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were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currently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employed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.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table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2, 27,2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should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27.2.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Please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check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your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manuscript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thoroughly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>.</w:t>
      </w:r>
    </w:p>
    <w:p w:rsidR="000F4981" w:rsidRDefault="004978E3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Sorry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for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this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mistake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This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number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in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table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2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corrected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(Placebo 64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Placebo 66).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Table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1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also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checked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corrected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>.</w:t>
      </w:r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All</w:t>
      </w:r>
      <w:proofErr w:type="spellEnd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manuscript</w:t>
      </w:r>
      <w:proofErr w:type="spellEnd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C13054" w:rsidRPr="000F4981">
        <w:rPr>
          <w:rFonts w:eastAsia="Times New Roman" w:cstheme="minorHAnsi"/>
          <w:b/>
          <w:i/>
          <w:color w:val="201F1E"/>
          <w:lang w:eastAsia="pt-BR"/>
        </w:rPr>
        <w:t>completely</w:t>
      </w:r>
      <w:proofErr w:type="spellEnd"/>
      <w:r w:rsidR="00C13054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reviewed</w:t>
      </w:r>
      <w:proofErr w:type="spellEnd"/>
      <w:r w:rsidR="001647F7" w:rsidRPr="000F4981">
        <w:rPr>
          <w:rFonts w:eastAsia="Times New Roman" w:cstheme="minorHAnsi"/>
          <w:b/>
          <w:i/>
          <w:color w:val="201F1E"/>
          <w:lang w:eastAsia="pt-BR"/>
        </w:rPr>
        <w:t>.</w:t>
      </w:r>
      <w:r w:rsidR="001647F7" w:rsidRPr="000F4981">
        <w:rPr>
          <w:rFonts w:eastAsia="Times New Roman" w:cstheme="minorHAnsi"/>
          <w:i/>
          <w:color w:val="201F1E"/>
          <w:lang w:eastAsia="pt-BR"/>
        </w:rPr>
        <w:t xml:space="preserve"> </w:t>
      </w:r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Reviewer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#3: (No Response)</w:t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</w:p>
    <w:p w:rsidR="000F4981" w:rsidRDefault="000F4981">
      <w:pPr>
        <w:rPr>
          <w:rFonts w:eastAsia="Times New Roman" w:cstheme="minorHAnsi"/>
          <w:color w:val="201F1E"/>
          <w:lang w:eastAsia="pt-BR"/>
        </w:rPr>
      </w:pPr>
      <w:r>
        <w:rPr>
          <w:rFonts w:eastAsia="Times New Roman" w:cstheme="minorHAnsi"/>
          <w:color w:val="201F1E"/>
          <w:lang w:eastAsia="pt-BR"/>
        </w:rPr>
        <w:br w:type="page"/>
      </w:r>
    </w:p>
    <w:p w:rsidR="001647F7" w:rsidRPr="000F4981" w:rsidRDefault="00385B8A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color w:val="201F1E"/>
          <w:lang w:eastAsia="pt-BR"/>
        </w:rPr>
        <w:lastRenderedPageBreak/>
        <w:t>Reviewer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#5: The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authors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aimed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evaluate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evaluate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effect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magnesium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supplementation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prevention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leg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cramps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pregnant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women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>.</w:t>
      </w:r>
      <w:r w:rsidRPr="000F4981">
        <w:rPr>
          <w:rFonts w:eastAsia="Times New Roman" w:cstheme="minorHAnsi"/>
          <w:color w:val="201F1E"/>
          <w:lang w:eastAsia="pt-BR"/>
        </w:rPr>
        <w:br/>
      </w:r>
      <w:r w:rsidRPr="000F4981">
        <w:rPr>
          <w:rFonts w:eastAsia="Times New Roman" w:cstheme="minorHAnsi"/>
          <w:color w:val="201F1E"/>
          <w:lang w:eastAsia="pt-BR"/>
        </w:rPr>
        <w:br/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According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information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provided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authors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part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Brazil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MAGnesium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registered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ClinicalTrials.gov (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Identifier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NCT02032186). The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registration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refers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Brazil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MAGnesium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but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neither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current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referred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nor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are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aims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defined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as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secondary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outcomes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.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Therefore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presented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manuscript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describes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unplanned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secondary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above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mentioned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randomized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Brazil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MAGnesium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. A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secondary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should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regarded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as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observational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should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identified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explicitly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as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such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>.</w:t>
      </w:r>
      <w:r w:rsidRPr="000F4981">
        <w:rPr>
          <w:rFonts w:eastAsia="Times New Roman" w:cstheme="minorHAnsi"/>
          <w:color w:val="201F1E"/>
          <w:lang w:eastAsia="pt-BR"/>
        </w:rPr>
        <w:br/>
      </w:r>
    </w:p>
    <w:p w:rsidR="001647F7" w:rsidRPr="000F4981" w:rsidRDefault="001647F7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The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CE38C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CE38CC" w:rsidRPr="000F4981">
        <w:rPr>
          <w:rFonts w:eastAsia="Times New Roman" w:cstheme="minorHAnsi"/>
          <w:b/>
          <w:i/>
          <w:color w:val="201F1E"/>
          <w:lang w:eastAsia="pt-BR"/>
        </w:rPr>
        <w:t>now</w:t>
      </w:r>
      <w:proofErr w:type="spellEnd"/>
      <w:r w:rsidR="00CE38C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identified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as </w:t>
      </w:r>
      <w:proofErr w:type="spellStart"/>
      <w:r w:rsidR="00CE38CC" w:rsidRPr="000F4981">
        <w:rPr>
          <w:rFonts w:eastAsia="Times New Roman" w:cstheme="minorHAnsi"/>
          <w:b/>
          <w:i/>
          <w:color w:val="201F1E"/>
          <w:lang w:eastAsia="pt-BR"/>
        </w:rPr>
        <w:t>a</w:t>
      </w:r>
      <w:r w:rsidRPr="000F4981">
        <w:rPr>
          <w:rFonts w:eastAsia="Times New Roman" w:cstheme="minorHAnsi"/>
          <w:b/>
          <w:i/>
          <w:color w:val="201F1E"/>
          <w:lang w:eastAsia="pt-BR"/>
        </w:rPr>
        <w:t>n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observational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trial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</w:p>
    <w:p w:rsidR="00CE38CC" w:rsidRPr="000F4981" w:rsidRDefault="00385B8A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0F4981">
        <w:rPr>
          <w:rFonts w:eastAsia="Times New Roman" w:cstheme="minorHAnsi"/>
          <w:color w:val="201F1E"/>
          <w:lang w:eastAsia="pt-BR"/>
        </w:rPr>
        <w:t xml:space="preserve">The CONSORT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checklist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does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not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longer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correspond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presented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. The STROBE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checklist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would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more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appropriate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will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guide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authors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important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aspects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which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should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included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description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. E.g.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consideration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potential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confounders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statistical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observational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data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necessary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should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be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color w:val="201F1E"/>
          <w:lang w:eastAsia="pt-BR"/>
        </w:rPr>
        <w:t>added</w:t>
      </w:r>
      <w:proofErr w:type="spellEnd"/>
      <w:r w:rsidRPr="000F4981">
        <w:rPr>
          <w:rFonts w:eastAsia="Times New Roman" w:cstheme="minorHAnsi"/>
          <w:color w:val="201F1E"/>
          <w:lang w:eastAsia="pt-BR"/>
        </w:rPr>
        <w:t>.</w:t>
      </w:r>
    </w:p>
    <w:p w:rsidR="00CE38CC" w:rsidRPr="000F4981" w:rsidRDefault="00CE38CC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>:</w:t>
      </w:r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The CONSORT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check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list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changed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STROBE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checklist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This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limitation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added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in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discussion</w:t>
      </w:r>
      <w:proofErr w:type="spellEnd"/>
      <w:r w:rsidR="00992CAD" w:rsidRPr="000F4981">
        <w:rPr>
          <w:rFonts w:eastAsia="Times New Roman" w:cstheme="minorHAnsi"/>
          <w:b/>
          <w:i/>
          <w:color w:val="201F1E"/>
          <w:lang w:eastAsia="pt-BR"/>
        </w:rPr>
        <w:t>: 4)</w:t>
      </w:r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Because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this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study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was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observational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, it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could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be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prone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to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biases</w:t>
      </w:r>
      <w:proofErr w:type="spellEnd"/>
      <w:r w:rsidR="00992CAD" w:rsidRPr="000F4981">
        <w:rPr>
          <w:rFonts w:cstheme="minorHAnsi"/>
          <w:b/>
          <w:i/>
          <w:color w:val="000000"/>
          <w:shd w:val="clear" w:color="auto" w:fill="FFFFFF"/>
        </w:rPr>
        <w:t>.</w:t>
      </w:r>
      <w:r w:rsidR="00385B8A" w:rsidRPr="000F4981">
        <w:rPr>
          <w:rFonts w:eastAsia="Times New Roman" w:cstheme="minorHAnsi"/>
          <w:b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further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aspect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that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randomization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corresponds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estimated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size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(2000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assigned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magnesium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1000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assigned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placebo (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with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2:1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allocation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ratio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)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according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protocol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ClinicalTrials.gov)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not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subsample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132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patients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(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with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apparent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1:1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allocation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ratio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).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means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that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quality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characteristics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randomization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no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longer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apply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. The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merely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observational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trial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>.</w:t>
      </w:r>
    </w:p>
    <w:p w:rsidR="00CE38CC" w:rsidRPr="000F4981" w:rsidRDefault="00CE38CC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Following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your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orientation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design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changed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observational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>.</w:t>
      </w:r>
      <w:r w:rsidRPr="000F4981">
        <w:rPr>
          <w:rFonts w:eastAsia="Times New Roman" w:cstheme="minorHAnsi"/>
          <w:b/>
          <w:color w:val="201F1E"/>
          <w:lang w:eastAsia="pt-BR"/>
        </w:rPr>
        <w:t xml:space="preserve"> </w:t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  <w:t xml:space="preserve">The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size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initial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based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primary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(perinatal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composite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).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Therefore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sample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size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corresponding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power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not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adequate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for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current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outcome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(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presence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leg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cramps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)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puts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validity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analysis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subsequent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conclusion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into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question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>.</w:t>
      </w:r>
    </w:p>
    <w:p w:rsidR="002A47FC" w:rsidRPr="000F4981" w:rsidRDefault="00CE38CC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agree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with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you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but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a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sub-sample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size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calculated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based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on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previous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trials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with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interventions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reduce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frequency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This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is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supposed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offer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robustness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our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results</w:t>
      </w:r>
      <w:proofErr w:type="spellEnd"/>
      <w:r w:rsidR="002A47FC" w:rsidRPr="000F4981">
        <w:rPr>
          <w:rFonts w:eastAsia="Times New Roman" w:cstheme="minorHAnsi"/>
          <w:b/>
          <w:i/>
          <w:color w:val="201F1E"/>
          <w:lang w:eastAsia="pt-BR"/>
        </w:rPr>
        <w:t>.</w:t>
      </w:r>
      <w:r w:rsidR="002A47FC" w:rsidRPr="000F4981">
        <w:rPr>
          <w:rFonts w:eastAsia="Times New Roman" w:cstheme="minorHAnsi"/>
          <w:i/>
          <w:color w:val="201F1E"/>
          <w:lang w:eastAsia="pt-BR"/>
        </w:rPr>
        <w:t xml:space="preserve">  </w:t>
      </w:r>
      <w:r w:rsidRPr="000F4981">
        <w:rPr>
          <w:rFonts w:eastAsia="Times New Roman" w:cstheme="minorHAnsi"/>
          <w:i/>
          <w:color w:val="201F1E"/>
          <w:lang w:eastAsia="pt-BR"/>
        </w:rPr>
        <w:t xml:space="preserve"> </w:t>
      </w:r>
      <w:r w:rsidR="00385B8A" w:rsidRPr="000F4981">
        <w:rPr>
          <w:rFonts w:eastAsia="Times New Roman" w:cstheme="minorHAnsi"/>
          <w:i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  <w:t xml:space="preserve">Apart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from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that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“new”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calculation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based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“50%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reduction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leg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cramps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”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and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not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on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variable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defined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as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primary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endpoint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(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presence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leg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cramps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)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that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methodological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basis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study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in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itself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is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also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questionable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>.</w:t>
      </w:r>
    </w:p>
    <w:p w:rsidR="00385B8A" w:rsidRPr="000F4981" w:rsidRDefault="002A47FC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The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primary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endpoint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changed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frequency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. The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sample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size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calculated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based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on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50%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reduction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Presence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of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leg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cramps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now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considered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as a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secondary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F4981">
        <w:rPr>
          <w:rFonts w:eastAsia="Times New Roman" w:cstheme="minorHAnsi"/>
          <w:b/>
          <w:i/>
          <w:color w:val="201F1E"/>
          <w:lang w:eastAsia="pt-BR"/>
        </w:rPr>
        <w:t>outcome</w:t>
      </w:r>
      <w:proofErr w:type="spellEnd"/>
      <w:r w:rsid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r w:rsidRPr="000F4981">
        <w:rPr>
          <w:rFonts w:eastAsia="Times New Roman" w:cstheme="minorHAnsi"/>
          <w:color w:val="201F1E"/>
          <w:lang w:eastAsia="pt-BR"/>
        </w:rPr>
        <w:t xml:space="preserve"> </w:t>
      </w:r>
      <w:r w:rsidR="00385B8A" w:rsidRPr="000F4981">
        <w:rPr>
          <w:rFonts w:eastAsia="Times New Roman" w:cstheme="minorHAnsi"/>
          <w:color w:val="201F1E"/>
          <w:lang w:eastAsia="pt-BR"/>
        </w:rPr>
        <w:br/>
      </w:r>
      <w:r w:rsidR="00385B8A" w:rsidRPr="000F4981">
        <w:rPr>
          <w:rFonts w:eastAsia="Times New Roman" w:cstheme="minorHAnsi"/>
          <w:color w:val="201F1E"/>
          <w:lang w:eastAsia="pt-BR"/>
        </w:rPr>
        <w:br/>
        <w:t xml:space="preserve">I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am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sorry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to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say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,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but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from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my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point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of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view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there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are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unsurmountable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methodological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 xml:space="preserve"> </w:t>
      </w:r>
      <w:proofErr w:type="spellStart"/>
      <w:r w:rsidR="00385B8A" w:rsidRPr="000F4981">
        <w:rPr>
          <w:rFonts w:eastAsia="Times New Roman" w:cstheme="minorHAnsi"/>
          <w:color w:val="201F1E"/>
          <w:lang w:eastAsia="pt-BR"/>
        </w:rPr>
        <w:t>deficits</w:t>
      </w:r>
      <w:proofErr w:type="spellEnd"/>
      <w:r w:rsidR="00385B8A" w:rsidRPr="000F4981">
        <w:rPr>
          <w:rFonts w:eastAsia="Times New Roman" w:cstheme="minorHAnsi"/>
          <w:color w:val="201F1E"/>
          <w:lang w:eastAsia="pt-BR"/>
        </w:rPr>
        <w:t>.</w:t>
      </w:r>
    </w:p>
    <w:p w:rsidR="002A47FC" w:rsidRPr="000F4981" w:rsidRDefault="002A47FC" w:rsidP="004978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201F1E"/>
          <w:lang w:eastAsia="pt-BR"/>
        </w:rPr>
      </w:pP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lastRenderedPageBreak/>
        <w:t>Answer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: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Thank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you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very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much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for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your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analysis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.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We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hope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that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as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the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Pr="000F4981">
        <w:rPr>
          <w:rFonts w:eastAsia="Times New Roman" w:cstheme="minorHAnsi"/>
          <w:b/>
          <w:i/>
          <w:color w:val="201F1E"/>
          <w:lang w:eastAsia="pt-BR"/>
        </w:rPr>
        <w:t>study</w:t>
      </w:r>
      <w:proofErr w:type="spellEnd"/>
      <w:r w:rsidRPr="000F4981">
        <w:rPr>
          <w:rFonts w:eastAsia="Times New Roman" w:cstheme="minorHAnsi"/>
          <w:b/>
          <w:i/>
          <w:color w:val="201F1E"/>
          <w:lang w:eastAsia="pt-BR"/>
        </w:rPr>
        <w:t xml:space="preserve"> design</w:t>
      </w:r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was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now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changed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to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an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observational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trial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you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can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review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</w:t>
      </w:r>
      <w:proofErr w:type="spellStart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>your</w:t>
      </w:r>
      <w:proofErr w:type="spellEnd"/>
      <w:r w:rsidR="000E73CE" w:rsidRPr="000F4981">
        <w:rPr>
          <w:rFonts w:eastAsia="Times New Roman" w:cstheme="minorHAnsi"/>
          <w:b/>
          <w:i/>
          <w:color w:val="201F1E"/>
          <w:lang w:eastAsia="pt-BR"/>
        </w:rPr>
        <w:t xml:space="preserve"> position. </w:t>
      </w:r>
    </w:p>
    <w:p w:rsidR="00385B8A" w:rsidRPr="00385B8A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385B8A" w:rsidRPr="00385B8A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385B8A" w:rsidRPr="00385B8A" w:rsidRDefault="00385B8A" w:rsidP="000F49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385B8A" w:rsidRPr="00385B8A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385B8A" w:rsidRPr="00385B8A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385B8A" w:rsidRPr="00385B8A" w:rsidRDefault="00385B8A" w:rsidP="00385B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lang w:eastAsia="pt-BR"/>
        </w:rPr>
      </w:pPr>
      <w:r w:rsidRPr="00385B8A">
        <w:rPr>
          <w:rFonts w:eastAsia="Times New Roman" w:cstheme="minorHAnsi"/>
          <w:color w:val="201F1E"/>
          <w:lang w:eastAsia="pt-BR"/>
        </w:rPr>
        <w:t> </w:t>
      </w:r>
    </w:p>
    <w:p w:rsidR="004163A5" w:rsidRPr="000F4981" w:rsidRDefault="004163A5">
      <w:pPr>
        <w:rPr>
          <w:rFonts w:cstheme="minorHAnsi"/>
        </w:rPr>
      </w:pPr>
      <w:bookmarkStart w:id="0" w:name="_GoBack"/>
      <w:bookmarkEnd w:id="0"/>
    </w:p>
    <w:sectPr w:rsidR="004163A5" w:rsidRPr="000F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3999"/>
    <w:multiLevelType w:val="hybridMultilevel"/>
    <w:tmpl w:val="DD64C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A"/>
    <w:rsid w:val="000E73CE"/>
    <w:rsid w:val="000F4981"/>
    <w:rsid w:val="001647F7"/>
    <w:rsid w:val="002A47FC"/>
    <w:rsid w:val="00385B8A"/>
    <w:rsid w:val="004163A5"/>
    <w:rsid w:val="004978E3"/>
    <w:rsid w:val="007115A5"/>
    <w:rsid w:val="008F6537"/>
    <w:rsid w:val="00992CAD"/>
    <w:rsid w:val="00A87828"/>
    <w:rsid w:val="00C13054"/>
    <w:rsid w:val="00CB07A2"/>
    <w:rsid w:val="00CE38CC"/>
    <w:rsid w:val="00D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BABAA7-E29B-4EBC-8B16-AC52773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5B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C85"/>
    <w:pPr>
      <w:ind w:left="720"/>
      <w:contextualSpacing/>
    </w:pPr>
  </w:style>
  <w:style w:type="character" w:customStyle="1" w:styleId="mi">
    <w:name w:val="mi"/>
    <w:basedOn w:val="Fontepargpadro"/>
    <w:rsid w:val="00A87828"/>
  </w:style>
  <w:style w:type="character" w:customStyle="1" w:styleId="mn">
    <w:name w:val="mn"/>
    <w:basedOn w:val="Fontepargpadro"/>
    <w:rsid w:val="00A87828"/>
  </w:style>
  <w:style w:type="character" w:customStyle="1" w:styleId="mo">
    <w:name w:val="mo"/>
    <w:basedOn w:val="Fontepargpadro"/>
    <w:rsid w:val="00A87828"/>
  </w:style>
  <w:style w:type="character" w:customStyle="1" w:styleId="msqrt">
    <w:name w:val="msqrt"/>
    <w:basedOn w:val="Fontepargpadro"/>
    <w:rsid w:val="00A87828"/>
  </w:style>
  <w:style w:type="character" w:customStyle="1" w:styleId="mjxassistivemathml">
    <w:name w:val="mjx_assistive_mathml"/>
    <w:basedOn w:val="Fontepargpadro"/>
    <w:rsid w:val="00A8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3133">
          <w:marLeft w:val="0"/>
          <w:marRight w:val="0"/>
          <w:marTop w:val="0"/>
          <w:marBottom w:val="0"/>
          <w:divBdr>
            <w:top w:val="single" w:sz="12" w:space="18" w:color="C0C0C0"/>
            <w:left w:val="single" w:sz="12" w:space="18" w:color="C0C0C0"/>
            <w:bottom w:val="single" w:sz="12" w:space="18" w:color="C0C0C0"/>
            <w:right w:val="single" w:sz="12" w:space="18" w:color="C0C0C0"/>
          </w:divBdr>
        </w:div>
      </w:divsChild>
    </w:div>
    <w:div w:id="201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8783">
          <w:marLeft w:val="0"/>
          <w:marRight w:val="0"/>
          <w:marTop w:val="0"/>
          <w:marBottom w:val="0"/>
          <w:divBdr>
            <w:top w:val="single" w:sz="12" w:space="18" w:color="C0C0C0"/>
            <w:left w:val="single" w:sz="12" w:space="18" w:color="C0C0C0"/>
            <w:bottom w:val="single" w:sz="12" w:space="18" w:color="C0C0C0"/>
            <w:right w:val="single" w:sz="12" w:space="1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library.wiley.com/doi/full/10.1111/j.1740-8709.2012.00440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Guilherme Alves</dc:creator>
  <cp:keywords/>
  <dc:description/>
  <cp:lastModifiedBy>Joao Guilherme Alves</cp:lastModifiedBy>
  <cp:revision>3</cp:revision>
  <dcterms:created xsi:type="dcterms:W3CDTF">2019-11-11T09:45:00Z</dcterms:created>
  <dcterms:modified xsi:type="dcterms:W3CDTF">2019-11-11T16:05:00Z</dcterms:modified>
</cp:coreProperties>
</file>