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38" w:rsidRPr="00F71E93" w:rsidRDefault="002A5538" w:rsidP="002A5538">
      <w:pPr>
        <w:pStyle w:val="Heading1"/>
        <w:rPr>
          <w:rFonts w:asciiTheme="minorHAnsi" w:eastAsia="Calibri" w:hAnsiTheme="minorHAnsi" w:cstheme="minorHAnsi"/>
          <w:b/>
          <w:color w:val="auto"/>
        </w:rPr>
      </w:pPr>
      <w:bookmarkStart w:id="0" w:name="_Toc61472030"/>
      <w:r>
        <w:rPr>
          <w:rFonts w:asciiTheme="minorHAnsi" w:eastAsia="Calibri" w:hAnsiTheme="minorHAnsi" w:cstheme="minorHAnsi"/>
          <w:b/>
          <w:color w:val="auto"/>
        </w:rPr>
        <w:t xml:space="preserve">S3 </w:t>
      </w:r>
      <w:r w:rsidR="00604DCB">
        <w:rPr>
          <w:rFonts w:asciiTheme="minorHAnsi" w:eastAsia="Calibri" w:hAnsiTheme="minorHAnsi" w:cstheme="minorHAnsi"/>
          <w:b/>
          <w:color w:val="auto"/>
        </w:rPr>
        <w:t>T</w:t>
      </w:r>
      <w:r>
        <w:rPr>
          <w:rFonts w:asciiTheme="minorHAnsi" w:eastAsia="Calibri" w:hAnsiTheme="minorHAnsi" w:cstheme="minorHAnsi"/>
          <w:b/>
          <w:color w:val="auto"/>
        </w:rPr>
        <w:t>ext</w:t>
      </w:r>
      <w:r w:rsidR="000B695B">
        <w:rPr>
          <w:rFonts w:asciiTheme="minorHAnsi" w:eastAsia="Calibri" w:hAnsiTheme="minorHAnsi" w:cstheme="minorHAnsi"/>
          <w:b/>
          <w:color w:val="auto"/>
        </w:rPr>
        <w:t xml:space="preserve">: </w:t>
      </w:r>
      <w:r w:rsidRPr="00F71E93">
        <w:rPr>
          <w:rFonts w:asciiTheme="minorHAnsi" w:eastAsia="Calibri" w:hAnsiTheme="minorHAnsi" w:cstheme="minorHAnsi"/>
          <w:b/>
          <w:color w:val="auto"/>
        </w:rPr>
        <w:t xml:space="preserve">Comparison of overall </w:t>
      </w:r>
      <w:r w:rsidR="008F27F7">
        <w:rPr>
          <w:rFonts w:asciiTheme="minorHAnsi" w:eastAsia="Calibri" w:hAnsiTheme="minorHAnsi" w:cstheme="minorHAnsi"/>
          <w:b/>
          <w:color w:val="auto"/>
        </w:rPr>
        <w:t xml:space="preserve">incidence </w:t>
      </w:r>
      <w:r w:rsidRPr="00F71E93">
        <w:rPr>
          <w:rFonts w:asciiTheme="minorHAnsi" w:eastAsia="Calibri" w:hAnsiTheme="minorHAnsi" w:cstheme="minorHAnsi"/>
          <w:b/>
          <w:color w:val="auto"/>
        </w:rPr>
        <w:t xml:space="preserve">rate </w:t>
      </w:r>
      <w:r w:rsidR="008F27F7">
        <w:rPr>
          <w:rFonts w:asciiTheme="minorHAnsi" w:eastAsia="Calibri" w:hAnsiTheme="minorHAnsi" w:cstheme="minorHAnsi"/>
          <w:b/>
          <w:color w:val="auto"/>
        </w:rPr>
        <w:t xml:space="preserve">of death </w:t>
      </w:r>
      <w:bookmarkStart w:id="1" w:name="_GoBack"/>
      <w:bookmarkEnd w:id="1"/>
      <w:r w:rsidRPr="00F71E93">
        <w:rPr>
          <w:rFonts w:asciiTheme="minorHAnsi" w:eastAsia="Calibri" w:hAnsiTheme="minorHAnsi" w:cstheme="minorHAnsi"/>
          <w:b/>
          <w:color w:val="auto"/>
        </w:rPr>
        <w:t>between two groups</w:t>
      </w:r>
      <w:bookmarkEnd w:id="0"/>
    </w:p>
    <w:p w:rsidR="002A5538" w:rsidRPr="00F71E93" w:rsidRDefault="002A5538" w:rsidP="002A5538">
      <w:pPr>
        <w:spacing w:line="360" w:lineRule="auto"/>
        <w:jc w:val="both"/>
        <w:rPr>
          <w:rFonts w:eastAsiaTheme="minorEastAsia"/>
        </w:rPr>
      </w:pPr>
    </w:p>
    <w:p w:rsidR="002A5538" w:rsidRPr="00F71E93" w:rsidRDefault="002A5538" w:rsidP="002A5538">
      <w:pPr>
        <w:spacing w:line="360" w:lineRule="auto"/>
        <w:jc w:val="both"/>
        <w:rPr>
          <w:rFonts w:eastAsiaTheme="minorEastAsia"/>
        </w:rPr>
      </w:pPr>
      <w:r w:rsidRPr="00F71E93">
        <w:rPr>
          <w:rFonts w:eastAsiaTheme="minorEastAsia"/>
        </w:rPr>
        <w:t xml:space="preserve">Let </w:t>
      </w:r>
      <m:oMath>
        <m:sSub>
          <m:sSubPr>
            <m:ctrlPr>
              <w:rPr>
                <w:rFonts w:ascii="Cambria Math" w:hAnsi="Cambria Math" w:cstheme="minorHAnsi"/>
                <w:i/>
                <w:iCs/>
              </w:rPr>
            </m:ctrlPr>
          </m:sSubPr>
          <m:e>
            <m:r>
              <w:rPr>
                <w:rFonts w:ascii="Cambria Math" w:hAnsi="Cambria Math" w:cstheme="minorHAnsi"/>
              </w:rPr>
              <m:t>r</m:t>
            </m:r>
          </m:e>
          <m:sub>
            <m:r>
              <w:rPr>
                <w:rFonts w:ascii="Cambria Math" w:hAnsi="Cambria Math" w:cstheme="minorHAnsi"/>
              </w:rPr>
              <m:t>1</m:t>
            </m:r>
          </m:sub>
        </m:sSub>
      </m:oMath>
      <w:r w:rsidRPr="00F71E93">
        <w:rPr>
          <w:rFonts w:cstheme="minorHAnsi"/>
        </w:rPr>
        <w:t xml:space="preserve">be the incidence rate of mortality for group 1 and </w:t>
      </w:r>
      <w:r w:rsidRPr="00F71E93">
        <w:rPr>
          <w:rFonts w:eastAsiaTheme="minorEastAsia"/>
        </w:rPr>
        <w:t xml:space="preserve"> </w:t>
      </w:r>
      <m:oMath>
        <m:sSub>
          <m:sSubPr>
            <m:ctrlPr>
              <w:rPr>
                <w:rFonts w:ascii="Cambria Math" w:hAnsi="Cambria Math" w:cstheme="minorHAnsi"/>
                <w:i/>
                <w:iCs/>
              </w:rPr>
            </m:ctrlPr>
          </m:sSubPr>
          <m:e>
            <m:r>
              <w:rPr>
                <w:rFonts w:ascii="Cambria Math" w:hAnsi="Cambria Math" w:cstheme="minorHAnsi"/>
              </w:rPr>
              <m:t>r</m:t>
            </m:r>
          </m:e>
          <m:sub>
            <m:r>
              <w:rPr>
                <w:rFonts w:ascii="Cambria Math" w:hAnsi="Cambria Math" w:cstheme="minorHAnsi"/>
              </w:rPr>
              <m:t>2</m:t>
            </m:r>
          </m:sub>
        </m:sSub>
      </m:oMath>
      <w:r w:rsidRPr="00F71E93">
        <w:rPr>
          <w:rFonts w:eastAsiaTheme="minorEastAsia"/>
          <w:iCs/>
        </w:rPr>
        <w:t xml:space="preserve"> </w:t>
      </w:r>
      <w:r w:rsidRPr="00F71E93">
        <w:rPr>
          <w:rFonts w:cstheme="minorHAnsi"/>
        </w:rPr>
        <w:t xml:space="preserve">be the rate for group 2. The interest is in estimating mean difference (D) in rate and </w:t>
      </w:r>
      <w:r w:rsidRPr="00F71E93">
        <w:rPr>
          <w:rFonts w:cstheme="minorHAnsi"/>
          <w:b/>
          <w:bCs/>
        </w:rPr>
        <w:t xml:space="preserve">constructing 95% confidence interval </w:t>
      </w:r>
      <w:r w:rsidRPr="00F71E93">
        <w:rPr>
          <w:rFonts w:cstheme="minorHAnsi"/>
        </w:rPr>
        <w:t xml:space="preserve">for </w:t>
      </w:r>
      <w:r w:rsidRPr="00F71E93">
        <w:rPr>
          <w:rFonts w:cstheme="minorHAnsi"/>
          <w:i/>
          <w:iCs/>
        </w:rPr>
        <w:t>D</w:t>
      </w:r>
      <w:r w:rsidRPr="00F71E93">
        <w:rPr>
          <w:rFonts w:cstheme="minorHAnsi"/>
        </w:rPr>
        <w:t xml:space="preserve">. </w:t>
      </w:r>
    </w:p>
    <w:p w:rsidR="002A5538" w:rsidRPr="00F71E93" w:rsidRDefault="002A5538" w:rsidP="002A5538">
      <w:pPr>
        <w:spacing w:line="360" w:lineRule="auto"/>
        <w:jc w:val="both"/>
        <w:rPr>
          <w:rFonts w:cstheme="minorHAnsi"/>
        </w:rPr>
      </w:pPr>
      <m:oMathPara>
        <m:oMath>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2</m:t>
              </m:r>
            </m:sub>
          </m:sSub>
        </m:oMath>
      </m:oMathPara>
    </w:p>
    <w:p w:rsidR="002A5538" w:rsidRPr="00F71E93" w:rsidRDefault="002A5538" w:rsidP="002A5538">
      <w:pPr>
        <w:spacing w:line="360" w:lineRule="auto"/>
        <w:jc w:val="both"/>
        <w:rPr>
          <w:rFonts w:cstheme="minorHAnsi"/>
        </w:rPr>
      </w:pPr>
      <w:r w:rsidRPr="00F71E93">
        <w:rPr>
          <w:rFonts w:cstheme="minorHAnsi"/>
          <w:b/>
          <w:bCs/>
        </w:rPr>
        <w:t>Under the assumption of independence</w:t>
      </w:r>
      <w:r w:rsidRPr="00F71E93">
        <w:rPr>
          <w:rFonts w:cstheme="minorHAnsi"/>
        </w:rPr>
        <w:t>, an expression for the variance of the rate difference can be obtained as:</w:t>
      </w:r>
    </w:p>
    <w:p w:rsidR="002A5538" w:rsidRPr="00F71E93" w:rsidRDefault="002A5538" w:rsidP="002A5538">
      <w:pPr>
        <w:spacing w:line="360" w:lineRule="auto"/>
        <w:jc w:val="both"/>
        <w:rPr>
          <w:rFonts w:eastAsiaTheme="minorEastAsia"/>
          <w:i/>
          <w:iCs/>
        </w:rPr>
      </w:pPr>
      <m:oMathPara>
        <m:oMathParaPr>
          <m:jc m:val="center"/>
        </m:oMathParaPr>
        <m:oMath>
          <m:r>
            <w:rPr>
              <w:rFonts w:ascii="Cambria Math" w:hAnsi="Cambria Math"/>
            </w:rPr>
            <m:t>Var</m:t>
          </m:r>
          <m:d>
            <m:dPr>
              <m:ctrlPr>
                <w:rPr>
                  <w:rFonts w:ascii="Cambria Math" w:hAnsi="Cambria Math"/>
                  <w:i/>
                  <w:iCs/>
                </w:rPr>
              </m:ctrlPr>
            </m:dPr>
            <m:e>
              <m:r>
                <w:rPr>
                  <w:rFonts w:ascii="Cambria Math" w:hAnsi="Cambria Math"/>
                </w:rPr>
                <m:t>D</m:t>
              </m:r>
            </m:e>
          </m:d>
          <m:r>
            <w:rPr>
              <w:rFonts w:ascii="Cambria Math" w:hAnsi="Cambria Math"/>
            </w:rPr>
            <m:t>=var</m:t>
          </m:r>
          <m:d>
            <m:dPr>
              <m:ctrlPr>
                <w:rPr>
                  <w:rFonts w:ascii="Cambria Math" w:hAnsi="Cambria Math"/>
                  <w:i/>
                  <w:iCs/>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+var</m:t>
          </m:r>
          <m:d>
            <m:dPr>
              <m:ctrlPr>
                <w:rPr>
                  <w:rFonts w:ascii="Cambria Math" w:hAnsi="Cambria Math"/>
                  <w:i/>
                  <w:iCs/>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oMath>
      </m:oMathPara>
    </w:p>
    <w:p w:rsidR="002A5538" w:rsidRPr="00F71E93" w:rsidRDefault="002A5538" w:rsidP="002A5538">
      <w:pPr>
        <w:spacing w:line="360" w:lineRule="auto"/>
        <w:jc w:val="both"/>
        <w:rPr>
          <w:rFonts w:eastAsiaTheme="minorEastAsia"/>
        </w:rPr>
      </w:pPr>
      <w:r w:rsidRPr="00F71E93">
        <w:rPr>
          <w:rFonts w:eastAsiaTheme="minorEastAsia"/>
        </w:rPr>
        <w:t>The 95% confidence interval for rate difference is then:</w:t>
      </w:r>
    </w:p>
    <w:p w:rsidR="002A5538" w:rsidRPr="00F71E93" w:rsidRDefault="002A5538" w:rsidP="002A5538">
      <w:pPr>
        <w:spacing w:line="360" w:lineRule="auto"/>
        <w:jc w:val="both"/>
        <w:rPr>
          <w:rFonts w:eastAsiaTheme="minorEastAsia"/>
          <w:i/>
          <w:iCs/>
        </w:rPr>
      </w:pPr>
      <m:oMathPara>
        <m:oMathParaPr>
          <m:jc m:val="center"/>
        </m:oMathParaPr>
        <m:oMath>
          <m:r>
            <w:rPr>
              <w:rFonts w:ascii="Cambria Math" w:hAnsi="Cambria Math"/>
            </w:rPr>
            <m:t>D±1.96*standard error (D)</m:t>
          </m:r>
        </m:oMath>
      </m:oMathPara>
    </w:p>
    <w:p w:rsidR="002A5538" w:rsidRPr="00F71E93" w:rsidRDefault="002A5538" w:rsidP="002A5538">
      <w:pPr>
        <w:spacing w:line="360" w:lineRule="auto"/>
        <w:jc w:val="both"/>
        <w:rPr>
          <w:rFonts w:eastAsiaTheme="minorEastAsia"/>
        </w:rPr>
      </w:pPr>
      <w:r w:rsidRPr="00F71E93">
        <w:rPr>
          <w:rFonts w:eastAsiaTheme="minorEastAsia"/>
        </w:rPr>
        <w:t xml:space="preserve">The default output of </w:t>
      </w:r>
      <w:r w:rsidRPr="00F71E93">
        <w:rPr>
          <w:rFonts w:eastAsiaTheme="minorEastAsia"/>
          <w:b/>
        </w:rPr>
        <w:t>metarate</w:t>
      </w:r>
      <w:r w:rsidRPr="00F71E93">
        <w:rPr>
          <w:rFonts w:eastAsiaTheme="minorEastAsia"/>
        </w:rPr>
        <w:t xml:space="preserve"> command in R software returns the standard error of the rates on logarithm scale. The variance of rate can be approximated from the estimate of variance on the logarithm scale using delta rule. Following equation (2.8) in </w:t>
      </w:r>
      <w:r w:rsidRPr="00F71E93">
        <w:rPr>
          <w:rFonts w:cstheme="minorHAnsi"/>
        </w:rPr>
        <w:t>Collet (2015)</w:t>
      </w:r>
      <w:r w:rsidRPr="00F71E93">
        <w:rPr>
          <w:rStyle w:val="FootnoteReference"/>
          <w:rFonts w:cstheme="minorHAnsi"/>
        </w:rPr>
        <w:footnoteReference w:id="1"/>
      </w:r>
      <w:r w:rsidRPr="00F71E93">
        <w:rPr>
          <w:rFonts w:cstheme="minorHAnsi"/>
        </w:rPr>
        <w:t xml:space="preserve">, the variance of </w:t>
      </w:r>
      <w:r w:rsidRPr="00F71E93">
        <w:rPr>
          <w:rFonts w:cstheme="minorHAnsi"/>
          <w:i/>
          <w:iCs/>
        </w:rPr>
        <w:t>g</w:t>
      </w:r>
      <w:r w:rsidRPr="00F71E93">
        <w:rPr>
          <w:rFonts w:cstheme="minorHAnsi"/>
        </w:rPr>
        <w:t>(X) can be obtained using Taylor’s series approximation:</w:t>
      </w:r>
    </w:p>
    <w:p w:rsidR="002A5538" w:rsidRPr="00F71E93" w:rsidRDefault="002A5538" w:rsidP="002A5538">
      <w:pPr>
        <w:pStyle w:val="ListParagraph"/>
        <w:spacing w:line="360" w:lineRule="auto"/>
        <w:jc w:val="center"/>
        <w:rPr>
          <w:rFonts w:cstheme="minorHAnsi"/>
          <w:b/>
          <w:i/>
        </w:rPr>
      </w:pPr>
      <m:oMathPara>
        <m:oMath>
          <m:r>
            <w:rPr>
              <w:rFonts w:ascii="Cambria Math" w:hAnsi="Cambria Math" w:cstheme="minorHAnsi"/>
              <w:vertAlign w:val="subscript"/>
            </w:rPr>
            <m:t>Var</m:t>
          </m:r>
          <m:d>
            <m:dPr>
              <m:begChr m:val="{"/>
              <m:endChr m:val="}"/>
              <m:ctrlPr>
                <w:rPr>
                  <w:rFonts w:ascii="Cambria Math" w:hAnsi="Cambria Math" w:cstheme="minorHAnsi"/>
                  <w:i/>
                  <w:vertAlign w:val="subscript"/>
                </w:rPr>
              </m:ctrlPr>
            </m:dPr>
            <m:e>
              <m:r>
                <w:rPr>
                  <w:rFonts w:ascii="Cambria Math" w:hAnsi="Cambria Math" w:cstheme="minorHAnsi"/>
                  <w:vertAlign w:val="subscript"/>
                </w:rPr>
                <m:t>g</m:t>
              </m:r>
              <m:d>
                <m:dPr>
                  <m:ctrlPr>
                    <w:rPr>
                      <w:rFonts w:ascii="Cambria Math" w:hAnsi="Cambria Math" w:cstheme="minorHAnsi"/>
                      <w:i/>
                      <w:vertAlign w:val="subscript"/>
                    </w:rPr>
                  </m:ctrlPr>
                </m:dPr>
                <m:e>
                  <m:r>
                    <w:rPr>
                      <w:rFonts w:ascii="Cambria Math" w:hAnsi="Cambria Math" w:cstheme="minorHAnsi"/>
                      <w:vertAlign w:val="subscript"/>
                    </w:rPr>
                    <m:t>X</m:t>
                  </m:r>
                </m:e>
              </m:d>
            </m:e>
          </m:d>
          <m:r>
            <w:rPr>
              <w:rFonts w:ascii="Cambria Math" w:hAnsi="Cambria Math" w:cstheme="minorHAnsi"/>
              <w:vertAlign w:val="subscript"/>
            </w:rPr>
            <m:t>≈</m:t>
          </m:r>
          <m:sSup>
            <m:sSupPr>
              <m:ctrlPr>
                <w:rPr>
                  <w:rFonts w:ascii="Cambria Math" w:hAnsi="Cambria Math" w:cstheme="minorHAnsi"/>
                  <w:i/>
                  <w:vertAlign w:val="subscript"/>
                </w:rPr>
              </m:ctrlPr>
            </m:sSupPr>
            <m:e>
              <m:d>
                <m:dPr>
                  <m:begChr m:val="{"/>
                  <m:endChr m:val="}"/>
                  <m:ctrlPr>
                    <w:rPr>
                      <w:rFonts w:ascii="Cambria Math" w:hAnsi="Cambria Math" w:cstheme="minorHAnsi"/>
                      <w:i/>
                      <w:vertAlign w:val="subscript"/>
                    </w:rPr>
                  </m:ctrlPr>
                </m:dPr>
                <m:e>
                  <m:f>
                    <m:fPr>
                      <m:ctrlPr>
                        <w:rPr>
                          <w:rFonts w:ascii="Cambria Math" w:hAnsi="Cambria Math" w:cstheme="minorHAnsi"/>
                          <w:i/>
                          <w:vertAlign w:val="subscript"/>
                        </w:rPr>
                      </m:ctrlPr>
                    </m:fPr>
                    <m:num>
                      <m:r>
                        <w:rPr>
                          <w:rFonts w:ascii="Cambria Math" w:hAnsi="Cambria Math" w:cstheme="minorHAnsi"/>
                          <w:vertAlign w:val="subscript"/>
                        </w:rPr>
                        <m:t>d g</m:t>
                      </m:r>
                      <m:d>
                        <m:dPr>
                          <m:ctrlPr>
                            <w:rPr>
                              <w:rFonts w:ascii="Cambria Math" w:hAnsi="Cambria Math" w:cstheme="minorHAnsi"/>
                              <w:i/>
                              <w:vertAlign w:val="subscript"/>
                            </w:rPr>
                          </m:ctrlPr>
                        </m:dPr>
                        <m:e>
                          <m:r>
                            <w:rPr>
                              <w:rFonts w:ascii="Cambria Math" w:hAnsi="Cambria Math" w:cstheme="minorHAnsi"/>
                              <w:vertAlign w:val="subscript"/>
                            </w:rPr>
                            <m:t>X</m:t>
                          </m:r>
                        </m:e>
                      </m:d>
                    </m:num>
                    <m:den>
                      <m:r>
                        <w:rPr>
                          <w:rFonts w:ascii="Cambria Math" w:hAnsi="Cambria Math" w:cstheme="minorHAnsi"/>
                          <w:vertAlign w:val="subscript"/>
                        </w:rPr>
                        <m:t>d X</m:t>
                      </m:r>
                    </m:den>
                  </m:f>
                </m:e>
              </m:d>
            </m:e>
            <m:sup>
              <m:r>
                <w:rPr>
                  <w:rFonts w:ascii="Cambria Math" w:hAnsi="Cambria Math" w:cstheme="minorHAnsi"/>
                  <w:vertAlign w:val="subscript"/>
                </w:rPr>
                <m:t>2</m:t>
              </m:r>
            </m:sup>
          </m:sSup>
          <m:r>
            <w:rPr>
              <w:rFonts w:ascii="Cambria Math" w:hAnsi="Cambria Math" w:cstheme="minorHAnsi"/>
              <w:vertAlign w:val="subscript"/>
            </w:rPr>
            <m:t>Var(X)</m:t>
          </m:r>
        </m:oMath>
      </m:oMathPara>
    </w:p>
    <w:p w:rsidR="002A5538" w:rsidRPr="00F71E93" w:rsidRDefault="002A5538" w:rsidP="002A5538">
      <w:pPr>
        <w:pStyle w:val="ListParagraph"/>
        <w:spacing w:line="360" w:lineRule="auto"/>
        <w:jc w:val="center"/>
        <w:rPr>
          <w:rFonts w:cstheme="minorHAnsi"/>
          <w:b/>
          <w:i/>
        </w:rPr>
      </w:pPr>
      <m:oMathPara>
        <m:oMath>
          <m:r>
            <w:rPr>
              <w:rFonts w:ascii="Cambria Math" w:eastAsiaTheme="minorEastAsia" w:hAnsi="Cambria Math" w:cstheme="minorHAnsi"/>
              <w:vertAlign w:val="subscript"/>
            </w:rPr>
            <m:t>⇒</m:t>
          </m:r>
          <m:r>
            <w:rPr>
              <w:rFonts w:ascii="Cambria Math" w:hAnsi="Cambria Math" w:cstheme="minorHAnsi"/>
              <w:vertAlign w:val="subscript"/>
            </w:rPr>
            <m:t>Var</m:t>
          </m:r>
          <m:d>
            <m:dPr>
              <m:begChr m:val="{"/>
              <m:endChr m:val="}"/>
              <m:ctrlPr>
                <w:rPr>
                  <w:rFonts w:ascii="Cambria Math" w:hAnsi="Cambria Math" w:cstheme="minorHAnsi"/>
                  <w:i/>
                  <w:vertAlign w:val="subscript"/>
                </w:rPr>
              </m:ctrlPr>
            </m:dPr>
            <m:e>
              <m:r>
                <w:rPr>
                  <w:rFonts w:ascii="Cambria Math" w:hAnsi="Cambria Math" w:cstheme="minorHAnsi"/>
                  <w:vertAlign w:val="subscript"/>
                </w:rPr>
                <m:t>log⁡(X)</m:t>
              </m:r>
            </m:e>
          </m:d>
          <m:r>
            <w:rPr>
              <w:rFonts w:ascii="Cambria Math" w:hAnsi="Cambria Math" w:cstheme="minorHAnsi"/>
              <w:vertAlign w:val="subscript"/>
            </w:rPr>
            <m:t>≈</m:t>
          </m:r>
          <m:sSup>
            <m:sSupPr>
              <m:ctrlPr>
                <w:rPr>
                  <w:rFonts w:ascii="Cambria Math" w:hAnsi="Cambria Math" w:cstheme="minorHAnsi"/>
                  <w:i/>
                  <w:vertAlign w:val="subscript"/>
                </w:rPr>
              </m:ctrlPr>
            </m:sSupPr>
            <m:e>
              <m:d>
                <m:dPr>
                  <m:begChr m:val="{"/>
                  <m:endChr m:val="}"/>
                  <m:ctrlPr>
                    <w:rPr>
                      <w:rFonts w:ascii="Cambria Math" w:hAnsi="Cambria Math" w:cstheme="minorHAnsi"/>
                      <w:i/>
                      <w:vertAlign w:val="subscript"/>
                    </w:rPr>
                  </m:ctrlPr>
                </m:dPr>
                <m:e>
                  <m:f>
                    <m:fPr>
                      <m:ctrlPr>
                        <w:rPr>
                          <w:rFonts w:ascii="Cambria Math" w:hAnsi="Cambria Math" w:cstheme="minorHAnsi"/>
                          <w:i/>
                          <w:vertAlign w:val="subscript"/>
                        </w:rPr>
                      </m:ctrlPr>
                    </m:fPr>
                    <m:num>
                      <m:r>
                        <w:rPr>
                          <w:rFonts w:ascii="Cambria Math" w:hAnsi="Cambria Math" w:cstheme="minorHAnsi"/>
                          <w:vertAlign w:val="subscript"/>
                        </w:rPr>
                        <m:t>d log⁡(X)</m:t>
                      </m:r>
                    </m:num>
                    <m:den>
                      <m:r>
                        <w:rPr>
                          <w:rFonts w:ascii="Cambria Math" w:hAnsi="Cambria Math" w:cstheme="minorHAnsi"/>
                          <w:vertAlign w:val="subscript"/>
                        </w:rPr>
                        <m:t>d X</m:t>
                      </m:r>
                    </m:den>
                  </m:f>
                </m:e>
              </m:d>
            </m:e>
            <m:sup>
              <m:r>
                <w:rPr>
                  <w:rFonts w:ascii="Cambria Math" w:hAnsi="Cambria Math" w:cstheme="minorHAnsi"/>
                  <w:vertAlign w:val="subscript"/>
                </w:rPr>
                <m:t>2</m:t>
              </m:r>
            </m:sup>
          </m:sSup>
          <m:r>
            <w:rPr>
              <w:rFonts w:ascii="Cambria Math" w:hAnsi="Cambria Math" w:cstheme="minorHAnsi"/>
              <w:vertAlign w:val="subscript"/>
            </w:rPr>
            <m:t>Var(X)</m:t>
          </m:r>
        </m:oMath>
      </m:oMathPara>
    </w:p>
    <w:p w:rsidR="002A5538" w:rsidRPr="00F71E93" w:rsidRDefault="002A5538" w:rsidP="002A5538">
      <w:pPr>
        <w:pStyle w:val="ListParagraph"/>
        <w:spacing w:line="360" w:lineRule="auto"/>
        <w:jc w:val="center"/>
        <w:rPr>
          <w:rFonts w:cstheme="minorHAnsi"/>
          <w:b/>
          <w:i/>
        </w:rPr>
      </w:pPr>
      <m:oMathPara>
        <m:oMath>
          <m:r>
            <w:rPr>
              <w:rFonts w:ascii="Cambria Math" w:eastAsiaTheme="minorEastAsia" w:hAnsi="Cambria Math" w:cstheme="minorHAnsi"/>
              <w:vertAlign w:val="subscript"/>
            </w:rPr>
            <m:t>⇒</m:t>
          </m:r>
          <m:r>
            <w:rPr>
              <w:rFonts w:ascii="Cambria Math" w:hAnsi="Cambria Math" w:cstheme="minorHAnsi"/>
              <w:vertAlign w:val="subscript"/>
            </w:rPr>
            <m:t>Var</m:t>
          </m:r>
          <m:d>
            <m:dPr>
              <m:begChr m:val="{"/>
              <m:endChr m:val="}"/>
              <m:ctrlPr>
                <w:rPr>
                  <w:rFonts w:ascii="Cambria Math" w:hAnsi="Cambria Math" w:cstheme="minorHAnsi"/>
                  <w:i/>
                  <w:vertAlign w:val="subscript"/>
                </w:rPr>
              </m:ctrlPr>
            </m:dPr>
            <m:e>
              <m:r>
                <w:rPr>
                  <w:rFonts w:ascii="Cambria Math" w:hAnsi="Cambria Math" w:cstheme="minorHAnsi"/>
                  <w:vertAlign w:val="subscript"/>
                </w:rPr>
                <m:t>log⁡(X)</m:t>
              </m:r>
            </m:e>
          </m:d>
          <m:r>
            <w:rPr>
              <w:rFonts w:ascii="Cambria Math" w:hAnsi="Cambria Math" w:cstheme="minorHAnsi"/>
              <w:vertAlign w:val="subscript"/>
            </w:rPr>
            <m:t>≈</m:t>
          </m:r>
          <m:sSup>
            <m:sSupPr>
              <m:ctrlPr>
                <w:rPr>
                  <w:rFonts w:ascii="Cambria Math" w:hAnsi="Cambria Math" w:cstheme="minorHAnsi"/>
                  <w:i/>
                  <w:vertAlign w:val="subscript"/>
                </w:rPr>
              </m:ctrlPr>
            </m:sSupPr>
            <m:e>
              <m:d>
                <m:dPr>
                  <m:begChr m:val="{"/>
                  <m:endChr m:val="}"/>
                  <m:ctrlPr>
                    <w:rPr>
                      <w:rFonts w:ascii="Cambria Math" w:hAnsi="Cambria Math" w:cstheme="minorHAnsi"/>
                      <w:i/>
                      <w:vertAlign w:val="subscript"/>
                    </w:rPr>
                  </m:ctrlPr>
                </m:dPr>
                <m:e>
                  <m:f>
                    <m:fPr>
                      <m:ctrlPr>
                        <w:rPr>
                          <w:rFonts w:ascii="Cambria Math" w:hAnsi="Cambria Math" w:cstheme="minorHAnsi"/>
                          <w:i/>
                          <w:vertAlign w:val="subscript"/>
                        </w:rPr>
                      </m:ctrlPr>
                    </m:fPr>
                    <m:num>
                      <m:r>
                        <w:rPr>
                          <w:rFonts w:ascii="Cambria Math" w:hAnsi="Cambria Math" w:cstheme="minorHAnsi"/>
                          <w:vertAlign w:val="subscript"/>
                        </w:rPr>
                        <m:t>1</m:t>
                      </m:r>
                    </m:num>
                    <m:den>
                      <m:r>
                        <w:rPr>
                          <w:rFonts w:ascii="Cambria Math" w:hAnsi="Cambria Math" w:cstheme="minorHAnsi"/>
                          <w:vertAlign w:val="subscript"/>
                        </w:rPr>
                        <m:t>x</m:t>
                      </m:r>
                    </m:den>
                  </m:f>
                </m:e>
              </m:d>
            </m:e>
            <m:sup>
              <m:r>
                <w:rPr>
                  <w:rFonts w:ascii="Cambria Math" w:hAnsi="Cambria Math" w:cstheme="minorHAnsi"/>
                  <w:vertAlign w:val="subscript"/>
                </w:rPr>
                <m:t>2</m:t>
              </m:r>
            </m:sup>
          </m:sSup>
          <m:r>
            <w:rPr>
              <w:rFonts w:ascii="Cambria Math" w:hAnsi="Cambria Math" w:cstheme="minorHAnsi"/>
              <w:vertAlign w:val="subscript"/>
            </w:rPr>
            <m:t>Var(X)</m:t>
          </m:r>
        </m:oMath>
      </m:oMathPara>
    </w:p>
    <w:p w:rsidR="002A5538" w:rsidRPr="00F71E93" w:rsidRDefault="002A5538" w:rsidP="002A5538">
      <w:pPr>
        <w:pStyle w:val="ListParagraph"/>
        <w:spacing w:line="360" w:lineRule="auto"/>
        <w:jc w:val="center"/>
        <w:rPr>
          <w:rFonts w:cstheme="minorHAnsi"/>
          <w:b/>
          <w:i/>
        </w:rPr>
      </w:pPr>
      <m:oMathPara>
        <m:oMath>
          <m:r>
            <w:rPr>
              <w:rFonts w:ascii="Cambria Math" w:eastAsiaTheme="minorEastAsia" w:hAnsi="Cambria Math" w:cstheme="minorHAnsi"/>
              <w:vertAlign w:val="subscript"/>
            </w:rPr>
            <m:t>⇒</m:t>
          </m:r>
          <m:r>
            <w:rPr>
              <w:rFonts w:ascii="Cambria Math" w:hAnsi="Cambria Math" w:cstheme="minorHAnsi"/>
              <w:vertAlign w:val="subscript"/>
            </w:rPr>
            <m:t>Var</m:t>
          </m:r>
          <m:d>
            <m:dPr>
              <m:begChr m:val="{"/>
              <m:endChr m:val="}"/>
              <m:ctrlPr>
                <w:rPr>
                  <w:rFonts w:ascii="Cambria Math" w:hAnsi="Cambria Math" w:cstheme="minorHAnsi"/>
                  <w:i/>
                  <w:vertAlign w:val="subscript"/>
                </w:rPr>
              </m:ctrlPr>
            </m:dPr>
            <m:e>
              <m:r>
                <w:rPr>
                  <w:rFonts w:ascii="Cambria Math" w:hAnsi="Cambria Math" w:cstheme="minorHAnsi"/>
                  <w:vertAlign w:val="subscript"/>
                </w:rPr>
                <m:t>X</m:t>
              </m:r>
            </m:e>
          </m:d>
          <m:r>
            <w:rPr>
              <w:rFonts w:ascii="Cambria Math" w:hAnsi="Cambria Math" w:cstheme="minorHAnsi"/>
              <w:vertAlign w:val="subscript"/>
            </w:rPr>
            <m:t>≈</m:t>
          </m:r>
          <m:sSup>
            <m:sSupPr>
              <m:ctrlPr>
                <w:rPr>
                  <w:rFonts w:ascii="Cambria Math" w:hAnsi="Cambria Math" w:cstheme="minorHAnsi"/>
                  <w:i/>
                  <w:vertAlign w:val="subscript"/>
                </w:rPr>
              </m:ctrlPr>
            </m:sSupPr>
            <m:e>
              <m:r>
                <w:rPr>
                  <w:rFonts w:ascii="Cambria Math" w:hAnsi="Cambria Math" w:cstheme="minorHAnsi"/>
                  <w:vertAlign w:val="subscript"/>
                </w:rPr>
                <m:t>X</m:t>
              </m:r>
            </m:e>
            <m:sup>
              <m:r>
                <w:rPr>
                  <w:rFonts w:ascii="Cambria Math" w:hAnsi="Cambria Math" w:cstheme="minorHAnsi"/>
                  <w:vertAlign w:val="subscript"/>
                </w:rPr>
                <m:t>2</m:t>
              </m:r>
            </m:sup>
          </m:sSup>
          <m:r>
            <w:rPr>
              <w:rFonts w:ascii="Cambria Math" w:hAnsi="Cambria Math" w:cstheme="minorHAnsi"/>
              <w:vertAlign w:val="subscript"/>
            </w:rPr>
            <m:t>.Var</m:t>
          </m:r>
          <m:d>
            <m:dPr>
              <m:begChr m:val="{"/>
              <m:endChr m:val="}"/>
              <m:ctrlPr>
                <w:rPr>
                  <w:rFonts w:ascii="Cambria Math" w:hAnsi="Cambria Math" w:cstheme="minorHAnsi"/>
                  <w:i/>
                  <w:vertAlign w:val="subscript"/>
                </w:rPr>
              </m:ctrlPr>
            </m:dPr>
            <m:e>
              <m:r>
                <w:rPr>
                  <w:rFonts w:ascii="Cambria Math" w:hAnsi="Cambria Math" w:cstheme="minorHAnsi"/>
                  <w:vertAlign w:val="subscript"/>
                </w:rPr>
                <m:t>log⁡(X)</m:t>
              </m:r>
            </m:e>
          </m:d>
        </m:oMath>
      </m:oMathPara>
    </w:p>
    <w:p w:rsidR="00E32D33" w:rsidRDefault="00E32D33"/>
    <w:sectPr w:rsidR="00E32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DA" w:rsidRDefault="00D656DA" w:rsidP="002A5538">
      <w:pPr>
        <w:spacing w:after="0" w:line="240" w:lineRule="auto"/>
      </w:pPr>
      <w:r>
        <w:separator/>
      </w:r>
    </w:p>
  </w:endnote>
  <w:endnote w:type="continuationSeparator" w:id="0">
    <w:p w:rsidR="00D656DA" w:rsidRDefault="00D656DA" w:rsidP="002A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DA" w:rsidRDefault="00D656DA" w:rsidP="002A5538">
      <w:pPr>
        <w:spacing w:after="0" w:line="240" w:lineRule="auto"/>
      </w:pPr>
      <w:r>
        <w:separator/>
      </w:r>
    </w:p>
  </w:footnote>
  <w:footnote w:type="continuationSeparator" w:id="0">
    <w:p w:rsidR="00D656DA" w:rsidRDefault="00D656DA" w:rsidP="002A5538">
      <w:pPr>
        <w:spacing w:after="0" w:line="240" w:lineRule="auto"/>
      </w:pPr>
      <w:r>
        <w:continuationSeparator/>
      </w:r>
    </w:p>
  </w:footnote>
  <w:footnote w:id="1">
    <w:p w:rsidR="002A5538" w:rsidRPr="001518F3" w:rsidRDefault="002A5538" w:rsidP="002A5538">
      <w:pPr>
        <w:spacing w:line="360" w:lineRule="auto"/>
        <w:jc w:val="both"/>
        <w:rPr>
          <w:rFonts w:cs="Courier New"/>
          <w:vertAlign w:val="subscript"/>
        </w:rPr>
      </w:pPr>
      <w:r w:rsidRPr="00866023">
        <w:rPr>
          <w:rStyle w:val="FootnoteReference"/>
        </w:rPr>
        <w:footnoteRef/>
      </w:r>
      <w:r>
        <w:t xml:space="preserve"> </w:t>
      </w:r>
      <w:r>
        <w:rPr>
          <w:rFonts w:ascii="Calibri" w:hAnsi="Calibri" w:cs="Times New Roman"/>
          <w:noProof/>
          <w:szCs w:val="24"/>
        </w:rPr>
        <w:t>C</w:t>
      </w:r>
      <w:r w:rsidRPr="008A4B02">
        <w:rPr>
          <w:rFonts w:ascii="Calibri" w:hAnsi="Calibri" w:cs="Times New Roman"/>
          <w:noProof/>
          <w:szCs w:val="24"/>
        </w:rPr>
        <w:t xml:space="preserve">ollett D: </w:t>
      </w:r>
      <w:r w:rsidRPr="008A4B02">
        <w:rPr>
          <w:rFonts w:ascii="Calibri" w:hAnsi="Calibri" w:cs="Times New Roman"/>
          <w:i/>
          <w:iCs/>
          <w:noProof/>
          <w:szCs w:val="24"/>
        </w:rPr>
        <w:t>Modelling Survival Data in Medical Research, Third Edition</w:t>
      </w:r>
      <w:r w:rsidRPr="008A4B02">
        <w:rPr>
          <w:rFonts w:ascii="Calibri" w:hAnsi="Calibri" w:cs="Times New Roman"/>
          <w:noProof/>
          <w:szCs w:val="24"/>
        </w:rPr>
        <w:t>.</w:t>
      </w:r>
      <w:r>
        <w:rPr>
          <w:rFonts w:ascii="Calibri" w:hAnsi="Calibri" w:cs="Times New Roman"/>
          <w:i/>
          <w:iCs/>
          <w:noProof/>
          <w:szCs w:val="24"/>
        </w:rPr>
        <w:t>p26 (Equation 2.8)</w:t>
      </w:r>
      <w:r>
        <w:rPr>
          <w:rFonts w:ascii="Calibri" w:hAnsi="Calibri" w:cs="Times New Roman"/>
          <w:iCs/>
          <w:noProof/>
          <w:szCs w:val="24"/>
        </w:rP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611A"/>
    <w:multiLevelType w:val="multilevel"/>
    <w:tmpl w:val="C2A0F3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38"/>
    <w:rsid w:val="000B695B"/>
    <w:rsid w:val="002A5538"/>
    <w:rsid w:val="00604DCB"/>
    <w:rsid w:val="008F27F7"/>
    <w:rsid w:val="00B02FC7"/>
    <w:rsid w:val="00B300A5"/>
    <w:rsid w:val="00D656DA"/>
    <w:rsid w:val="00E3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9F8E-8718-467A-92BC-B6D303A4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538"/>
  </w:style>
  <w:style w:type="paragraph" w:styleId="Heading1">
    <w:name w:val="heading 1"/>
    <w:basedOn w:val="Normal"/>
    <w:next w:val="Normal"/>
    <w:link w:val="Heading1Char"/>
    <w:uiPriority w:val="9"/>
    <w:qFormat/>
    <w:rsid w:val="002A5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5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5538"/>
    <w:pPr>
      <w:ind w:left="720"/>
      <w:contextualSpacing/>
    </w:pPr>
  </w:style>
  <w:style w:type="character" w:styleId="FootnoteReference">
    <w:name w:val="footnote reference"/>
    <w:basedOn w:val="DefaultParagraphFont"/>
    <w:uiPriority w:val="99"/>
    <w:semiHidden/>
    <w:unhideWhenUsed/>
    <w:rsid w:val="002A5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 Dahal</dc:creator>
  <cp:keywords/>
  <dc:description/>
  <cp:lastModifiedBy>Prabin Dahal</cp:lastModifiedBy>
  <cp:revision>4</cp:revision>
  <dcterms:created xsi:type="dcterms:W3CDTF">2021-03-22T11:22:00Z</dcterms:created>
  <dcterms:modified xsi:type="dcterms:W3CDTF">2021-03-22T21:04:00Z</dcterms:modified>
</cp:coreProperties>
</file>