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36" w:rsidRDefault="00516036" w:rsidP="00516036">
      <w:pPr>
        <w:pStyle w:val="Listenabsatz"/>
        <w:ind w:left="0"/>
        <w:jc w:val="both"/>
        <w:rPr>
          <w:rStyle w:val="Ohne"/>
          <w:sz w:val="28"/>
          <w:szCs w:val="28"/>
          <w:lang w:val="en-US"/>
        </w:rPr>
      </w:pPr>
      <w:r>
        <w:rPr>
          <w:rStyle w:val="Ohne"/>
          <w:b/>
          <w:bCs/>
          <w:sz w:val="28"/>
          <w:szCs w:val="28"/>
          <w:lang w:val="en-US"/>
        </w:rPr>
        <w:t xml:space="preserve">S4 Table. Overview of main characteristics of included studies. </w:t>
      </w:r>
      <w:r>
        <w:rPr>
          <w:rStyle w:val="Ohne"/>
          <w:sz w:val="28"/>
          <w:szCs w:val="28"/>
          <w:lang w:val="en-US"/>
        </w:rPr>
        <w:t>Summary of included studies.</w:t>
      </w:r>
    </w:p>
    <w:p w:rsidR="00516036" w:rsidRDefault="00516036" w:rsidP="00516036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PICO 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09"/>
        <w:gridCol w:w="1254"/>
        <w:gridCol w:w="1250"/>
        <w:gridCol w:w="2084"/>
        <w:gridCol w:w="973"/>
        <w:gridCol w:w="1389"/>
        <w:gridCol w:w="1527"/>
        <w:gridCol w:w="2360"/>
        <w:gridCol w:w="2331"/>
      </w:tblGrid>
      <w:tr w:rsidR="00516036" w:rsidTr="00804531">
        <w:tc>
          <w:tcPr>
            <w:tcW w:w="1111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Author &amp; year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Place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Study design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Intervention/ number of patients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Cortico-steroids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AEDs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Follow-up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516036" w:rsidRDefault="00516036" w:rsidP="00804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Outcome – seizure recurrence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Outcome – cyst resolution</w:t>
            </w:r>
          </w:p>
        </w:tc>
      </w:tr>
      <w:tr w:rsidR="00516036" w:rsidTr="00804531">
        <w:tc>
          <w:tcPr>
            <w:tcW w:w="111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Gupta et al.  2002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 &lt;EndNote&gt;&lt;Cite&gt;&lt;Author&gt;Gupta&lt;/Author&gt;&lt;Year&gt;2002&lt;/Year&gt;&lt;RecNum&gt;7&lt;/RecNum&gt;&lt;DisplayText&gt;(1)&lt;/DisplayText&gt;&lt;record&gt;&lt;rec-number&gt;7&lt;/rec-number&gt;&lt;foreign-keys&gt;&lt;key app="EN" db-id="fst5ppf9ffft90ezx21xxs935d9tfefe5t5d" timestamp="0"&gt;7&lt;/key&gt;&lt;/foreign-keys&gt;&lt;ref-type name="Journal Article"&gt;17&lt;/ref-type&gt;&lt;contributors&gt;&lt;authors&gt;&lt;author&gt;Gupta, M.&lt;/author&gt;&lt;author&gt;Agarwal, P.&lt;/author&gt;&lt;author&gt;Khwaja, G. A.&lt;/author&gt;&lt;author&gt;Chowdhury, D.&lt;/author&gt;&lt;author&gt;Sharma, B.&lt;/author&gt;&lt;author&gt;Bansal, J.&lt;/author&gt;&lt;author&gt;Anand, S.&lt;/author&gt;&lt;/authors&gt;&lt;/contributors&gt;&lt;auth-address&gt;Department of Neurology, G.B. Pant Hospital, New Delhi, 110002, India.&lt;/auth-address&gt;&lt;titles&gt;&lt;title&gt;Randomized prospective study of outcome of short term antiepileptic treatment in small single enhancing CT lesion in brain&lt;/title&gt;&lt;secondary-title&gt;Neurol India&lt;/secondary-title&gt;&lt;alt-title&gt;Neurology India&lt;/alt-title&gt;&lt;/titles&gt;&lt;pages&gt;145-7&lt;/pages&gt;&lt;volume&gt;50&lt;/volume&gt;&lt;number&gt;2&lt;/number&gt;&lt;edition&gt;2002/07/23&lt;/edition&gt;&lt;keywords&gt;&lt;keyword&gt;Adolescent&lt;/keyword&gt;&lt;keyword&gt;Anticonvulsants/*administration &amp;amp; dosage/therapeutic use&lt;/keyword&gt;&lt;keyword&gt;Brain Diseases/*complications/*diagnostic imaging&lt;/keyword&gt;&lt;keyword&gt;Child&lt;/keyword&gt;&lt;keyword&gt;Child, Preschool&lt;/keyword&gt;&lt;keyword&gt;Drug Administration Schedule&lt;/keyword&gt;&lt;keyword&gt;Epilepsy/*drug therapy/*etiology&lt;/keyword&gt;&lt;keyword&gt;Female&lt;/keyword&gt;&lt;keyword&gt;Humans&lt;/keyword&gt;&lt;keyword&gt;Male&lt;/keyword&gt;&lt;keyword&gt;Prospective Studies&lt;/keyword&gt;&lt;keyword&gt;*Tomography, X-Ray Computed&lt;/keyword&gt;&lt;/keywords&gt;&lt;dates&gt;&lt;year&gt;2002&lt;/year&gt;&lt;pub-dates&gt;&lt;date&gt;Jun&lt;/date&gt;&lt;/pub-dates&gt;&lt;/dates&gt;&lt;isbn&gt;0028-3886 (Print)&amp;#xD;0028-3886&lt;/isbn&gt;&lt;accession-num&gt;12134176&lt;/accession-num&gt;&lt;urls&gt;&lt;/urls&gt;&lt;remote-database-provider&gt;NLM&lt;/remote-database-provider&gt;&lt;language&gt;eng&lt;/language&gt;&lt;/record&gt;&lt;/Cite&gt;&lt;/EndNote&gt;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bookmarkStart w:id="0" w:name="Bookmark12"/>
            <w:r>
              <w:rPr>
                <w:rFonts w:cs="Calibri"/>
                <w:i/>
                <w:sz w:val="18"/>
                <w:szCs w:val="18"/>
              </w:rPr>
              <w:t>(1)</w:t>
            </w:r>
            <w:r>
              <w:fldChar w:fldCharType="end"/>
            </w:r>
            <w:bookmarkEnd w:id="0"/>
          </w:p>
        </w:tc>
        <w:tc>
          <w:tcPr>
            <w:tcW w:w="1254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New Delhi, India</w:t>
            </w:r>
          </w:p>
        </w:tc>
        <w:tc>
          <w:tcPr>
            <w:tcW w:w="125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Randomized trial</w:t>
            </w:r>
          </w:p>
        </w:tc>
        <w:tc>
          <w:tcPr>
            <w:tcW w:w="208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AEDs for 6 months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(41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AEDs  for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1 year (40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 total: 81 patients</w:t>
            </w:r>
          </w:p>
        </w:tc>
        <w:tc>
          <w:tcPr>
            <w:tcW w:w="97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Not available</w:t>
            </w:r>
          </w:p>
        </w:tc>
        <w:tc>
          <w:tcPr>
            <w:tcW w:w="1528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 year after stopping AEDs (1,5 or 2 years)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repeat CT/MRI: 3months and/ or 6 months</w:t>
            </w:r>
          </w:p>
        </w:tc>
        <w:tc>
          <w:tcPr>
            <w:tcW w:w="2362" w:type="dxa"/>
            <w:shd w:val="clear" w:color="auto" w:fill="auto"/>
          </w:tcPr>
          <w:p w:rsidR="00516036" w:rsidRDefault="00516036" w:rsidP="0080453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5 patients (after 4.3+1.52 months of stopping treatment) </w:t>
            </w:r>
          </w:p>
          <w:p w:rsidR="00516036" w:rsidRDefault="00516036" w:rsidP="0080453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</w:t>
            </w:r>
          </w:p>
          <w:p w:rsidR="00516036" w:rsidRDefault="00516036" w:rsidP="0080453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5 patients (after 2.2+1.48 months of stopping treatment) </w:t>
            </w:r>
          </w:p>
        </w:tc>
        <w:tc>
          <w:tcPr>
            <w:tcW w:w="233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Calcifications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(at 6 months follow up)</w:t>
            </w:r>
          </w:p>
        </w:tc>
      </w:tr>
      <w:tr w:rsidR="00516036" w:rsidRPr="00516036" w:rsidTr="00804531">
        <w:tc>
          <w:tcPr>
            <w:tcW w:w="111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Thussu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et al. 2002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 &lt;EndNote&gt;&lt;Cite&gt;&lt;Author&gt;Thussu&lt;/Author&gt;&lt;Year&gt;2002&lt;/Year&gt;&lt;RecNum&gt;9&lt;/RecNum&gt;&lt;DisplayText&gt;(2)&lt;/DisplayText&gt;&lt;record&gt;&lt;rec-number&gt;9&lt;/rec-number&gt;&lt;foreign-keys&gt;&lt;key app="EN" db-id="fst5ppf9ffft90ezx21xxs935d9tfefe5t5d" timestamp="0"&gt;9&lt;/key&gt;&lt;/foreign-keys&gt;&lt;ref-type name="Journal Article"&gt;17&lt;/ref-type&gt;&lt;contributors&gt;&lt;authors&gt;&lt;author&gt;Thussu, A.&lt;/author&gt;&lt;author&gt;Arora, A.&lt;/author&gt;&lt;author&gt;Prabhakar, S.&lt;/author&gt;&lt;author&gt;Lal, V.&lt;/author&gt;&lt;author&gt;Sawhney, I. M.&lt;/author&gt;&lt;/authors&gt;&lt;/contributors&gt;&lt;auth-address&gt;Department of Neurology, Postgraduate Institute of Medical Education and Research, Chandigarh, 160012, India. a_thussu@hotmail.com&lt;/auth-address&gt;&lt;titles&gt;&lt;title&gt;Acute symptomatic seizures due to single CT lesions: how long to treat with antiepileptic drugs?&lt;/title&gt;&lt;secondary-title&gt;Neurol India&lt;/secondary-title&gt;&lt;alt-title&gt;Neurology India&lt;/alt-title&gt;&lt;/titles&gt;&lt;pages&gt;141-4&lt;/pages&gt;&lt;volume&gt;50&lt;/volume&gt;&lt;number&gt;2&lt;/number&gt;&lt;edition&gt;2002/07/23&lt;/edition&gt;&lt;keywords&gt;&lt;keyword&gt;Acute Disease&lt;/keyword&gt;&lt;keyword&gt;Adolescent&lt;/keyword&gt;&lt;keyword&gt;Adult&lt;/keyword&gt;&lt;keyword&gt;Anticonvulsants/*administration &amp;amp; dosage/therapeutic use&lt;/keyword&gt;&lt;keyword&gt;Brain Diseases/*complications/*diagnostic imaging/drug therapy&lt;/keyword&gt;&lt;keyword&gt;Carbamazepine/administration &amp;amp; dosage/therapeutic use&lt;/keyword&gt;&lt;keyword&gt;Child&lt;/keyword&gt;&lt;keyword&gt;Child, Preschool&lt;/keyword&gt;&lt;keyword&gt;Drug Administration Schedule&lt;/keyword&gt;&lt;keyword&gt;Female&lt;/keyword&gt;&lt;keyword&gt;Humans&lt;/keyword&gt;&lt;keyword&gt;Male&lt;/keyword&gt;&lt;keyword&gt;Middle Aged&lt;/keyword&gt;&lt;keyword&gt;Phenytoin/administration &amp;amp; dosage/therapeutic use&lt;/keyword&gt;&lt;keyword&gt;Seizures/*drug therapy/*etiology&lt;/keyword&gt;&lt;keyword&gt;*Tomography, X-Ray Computed&lt;/keyword&gt;&lt;/keywords&gt;&lt;dates&gt;&lt;year&gt;2002&lt;/year&gt;&lt;pub-dates&gt;&lt;date&gt;Jun&lt;/date&gt;&lt;/pub-dates&gt;&lt;/dates&gt;&lt;isbn&gt;0028-3886 (Print)&amp;#xD;0028-3886&lt;/isbn&gt;&lt;accession-num&gt;12134175&lt;/accession-num&gt;&lt;urls&gt;&lt;/urls&gt;&lt;remote-database-provider&gt;NLM&lt;/remote-database-provider&gt;&lt;language&gt;eng&lt;/language&gt;&lt;/record&gt;&lt;/Cite&gt;&lt;/EndNote&gt;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bookmarkStart w:id="1" w:name="Bookmark13"/>
            <w:r>
              <w:rPr>
                <w:rFonts w:cs="Calibri"/>
                <w:i/>
                <w:sz w:val="18"/>
                <w:szCs w:val="18"/>
              </w:rPr>
              <w:t>(2)</w:t>
            </w:r>
            <w:r>
              <w:fldChar w:fldCharType="end"/>
            </w:r>
            <w:bookmarkEnd w:id="1"/>
          </w:p>
        </w:tc>
        <w:tc>
          <w:tcPr>
            <w:tcW w:w="1254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Chandigarh, India</w:t>
            </w:r>
          </w:p>
        </w:tc>
        <w:tc>
          <w:tcPr>
            <w:tcW w:w="125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Randomized trial</w:t>
            </w:r>
          </w:p>
        </w:tc>
        <w:tc>
          <w:tcPr>
            <w:tcW w:w="208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AEDs for 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months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47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AEDs for 2 years (26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 total: 73</w:t>
            </w:r>
            <w:r>
              <w:rPr>
                <w:rStyle w:val="Funotenzeichen"/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97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516036" w:rsidRDefault="00516036" w:rsidP="00804531">
            <w:pPr>
              <w:pStyle w:val="JKBody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Carbamazepine (n=38),</w:t>
            </w:r>
          </w:p>
          <w:p w:rsidR="00516036" w:rsidRDefault="00516036" w:rsidP="00804531">
            <w:pPr>
              <w:pStyle w:val="JKBody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Phenytoin (n=35)</w:t>
            </w:r>
          </w:p>
        </w:tc>
        <w:tc>
          <w:tcPr>
            <w:tcW w:w="1528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 year after stopping AED (1,5 or 3 years)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epeat CT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: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at the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end 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of 3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2362" w:type="dxa"/>
            <w:shd w:val="clear" w:color="auto" w:fill="auto"/>
          </w:tcPr>
          <w:p w:rsidR="00516036" w:rsidRDefault="00516036" w:rsidP="0080453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8 patients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 3 patients </w:t>
            </w:r>
          </w:p>
        </w:tc>
        <w:tc>
          <w:tcPr>
            <w:tcW w:w="233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Complete cyst resolution Group A: 25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14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Calcifications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22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12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(CT scans at the end of 3 months)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16036" w:rsidRPr="00516036" w:rsidTr="00804531">
        <w:tc>
          <w:tcPr>
            <w:tcW w:w="111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Verma et al. 2006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</w:instrText>
            </w:r>
            <w:r>
              <w:fldChar w:fldCharType="end"/>
            </w:r>
            <w:bookmarkStart w:id="2" w:name="Bookmark15"/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3" w:name="Bookmark14"/>
            <w:bookmarkEnd w:id="2"/>
            <w:r>
              <w:rPr>
                <w:rFonts w:cs="Calibri"/>
                <w:i/>
                <w:sz w:val="18"/>
                <w:szCs w:val="18"/>
              </w:rPr>
              <w:t>(3)</w:t>
            </w:r>
            <w:r>
              <w:fldChar w:fldCharType="end"/>
            </w:r>
            <w:bookmarkEnd w:id="3"/>
          </w:p>
        </w:tc>
        <w:tc>
          <w:tcPr>
            <w:tcW w:w="1254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Varanasi,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25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Randomized trial</w:t>
            </w:r>
          </w:p>
        </w:tc>
        <w:tc>
          <w:tcPr>
            <w:tcW w:w="208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AEDs for 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months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98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AEDs for 2 years (108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 total: 227 patients and 21 patients lost to follow-up</w:t>
            </w:r>
          </w:p>
        </w:tc>
        <w:tc>
          <w:tcPr>
            <w:tcW w:w="97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389" w:type="dxa"/>
            <w:shd w:val="clear" w:color="auto" w:fill="auto"/>
          </w:tcPr>
          <w:p w:rsidR="00516036" w:rsidRDefault="00516036" w:rsidP="00804531">
            <w:pPr>
              <w:pStyle w:val="JKBody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Carbamazepine (n=176),</w:t>
            </w:r>
          </w:p>
          <w:p w:rsidR="00516036" w:rsidRDefault="00516036" w:rsidP="00804531">
            <w:pPr>
              <w:pStyle w:val="JKBody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Phenytoin (n=51)</w:t>
            </w:r>
          </w:p>
        </w:tc>
        <w:tc>
          <w:tcPr>
            <w:tcW w:w="1528" w:type="dxa"/>
            <w:shd w:val="clear" w:color="auto" w:fill="auto"/>
          </w:tcPr>
          <w:p w:rsidR="00516036" w:rsidRPr="008F4103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at least 18 months after AED tapering (2 or 3,5 years)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r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epeat CT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: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at the interval of 3–6 months</w:t>
            </w:r>
          </w:p>
        </w:tc>
        <w:tc>
          <w:tcPr>
            <w:tcW w:w="2362" w:type="dxa"/>
            <w:shd w:val="clear" w:color="auto" w:fill="auto"/>
          </w:tcPr>
          <w:p w:rsidR="00516036" w:rsidRDefault="00516036" w:rsidP="00804531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 xml:space="preserve">Group A: 16 patients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 13 patients</w:t>
            </w:r>
          </w:p>
        </w:tc>
        <w:tc>
          <w:tcPr>
            <w:tcW w:w="233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Complete cyst resolution Group A: 65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62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Partial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Group A: 5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6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Calcifications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33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46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during the follow-up period of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8F410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18 months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)</w:t>
            </w:r>
          </w:p>
        </w:tc>
      </w:tr>
    </w:tbl>
    <w:p w:rsidR="00516036" w:rsidRDefault="00516036" w:rsidP="0051603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16036" w:rsidRDefault="00516036" w:rsidP="0051603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16036" w:rsidRDefault="00516036" w:rsidP="005160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PICO 2</w:t>
      </w:r>
    </w:p>
    <w:tbl>
      <w:tblPr>
        <w:tblStyle w:val="Tabellenraster"/>
        <w:tblW w:w="5000" w:type="pct"/>
        <w:tblInd w:w="-147" w:type="dxa"/>
        <w:tblLook w:val="04A0" w:firstRow="1" w:lastRow="0" w:firstColumn="1" w:lastColumn="0" w:noHBand="0" w:noVBand="1"/>
      </w:tblPr>
      <w:tblGrid>
        <w:gridCol w:w="1115"/>
        <w:gridCol w:w="1130"/>
        <w:gridCol w:w="1261"/>
        <w:gridCol w:w="1824"/>
        <w:gridCol w:w="1543"/>
        <w:gridCol w:w="1403"/>
        <w:gridCol w:w="981"/>
        <w:gridCol w:w="2244"/>
        <w:gridCol w:w="2776"/>
      </w:tblGrid>
      <w:tr w:rsidR="00516036" w:rsidTr="00804531">
        <w:tc>
          <w:tcPr>
            <w:tcW w:w="1117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Author &amp; year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Place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Study design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Intervention/ number of patients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Corticosteroids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AEDs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Follow-up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Outcome – seizure recurrence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516036" w:rsidRDefault="00516036" w:rsidP="008045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Outcome – cyst resolution</w:t>
            </w:r>
          </w:p>
        </w:tc>
      </w:tr>
      <w:tr w:rsidR="00516036" w:rsidTr="00804531">
        <w:tc>
          <w:tcPr>
            <w:tcW w:w="1117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  <w:lang w:val="en-US"/>
              </w:rPr>
              <w:t>Garg et al. 2006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</w:instrText>
            </w:r>
            <w:r>
              <w:fldChar w:fldCharType="end"/>
            </w:r>
            <w:bookmarkStart w:id="4" w:name="Bookmark17"/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5" w:name="Bookmark16"/>
            <w:bookmarkEnd w:id="4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(4)</w:t>
            </w:r>
            <w:r>
              <w:fldChar w:fldCharType="end"/>
            </w:r>
            <w:bookmarkEnd w:id="5"/>
          </w:p>
        </w:tc>
        <w:tc>
          <w:tcPr>
            <w:tcW w:w="113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Lucknow, India</w:t>
            </w:r>
          </w:p>
        </w:tc>
        <w:tc>
          <w:tcPr>
            <w:tcW w:w="126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Randomized double blind placebo- controlled trial</w:t>
            </w:r>
          </w:p>
        </w:tc>
        <w:tc>
          <w:tcPr>
            <w:tcW w:w="182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corticosteroids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(30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placebo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(30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prednisolone (oral)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 mg/kg body weight/day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10 days + tapering off 4 days</w:t>
            </w:r>
          </w:p>
        </w:tc>
        <w:tc>
          <w:tcPr>
            <w:tcW w:w="140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phenytoin or carbamazepine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monotherapy</w:t>
            </w:r>
          </w:p>
        </w:tc>
        <w:tc>
          <w:tcPr>
            <w:tcW w:w="98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6 months, 9 months</w:t>
            </w:r>
          </w:p>
        </w:tc>
        <w:tc>
          <w:tcPr>
            <w:tcW w:w="2246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4 patients (1 normal CT, 3 abnormal CT scans)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14 patients (3 normal CT,11 abnormal CT scans)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(9 months)</w:t>
            </w:r>
          </w:p>
        </w:tc>
        <w:tc>
          <w:tcPr>
            <w:tcW w:w="2779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Complete cyst resolution: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16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14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(6 months)</w:t>
            </w:r>
          </w:p>
        </w:tc>
      </w:tr>
      <w:tr w:rsidR="00516036" w:rsidTr="00804531">
        <w:tc>
          <w:tcPr>
            <w:tcW w:w="1117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Kishore et al. 2007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</w:instrText>
            </w:r>
            <w:r>
              <w:fldChar w:fldCharType="end"/>
            </w:r>
            <w:bookmarkStart w:id="6" w:name="Bookmark19"/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7" w:name="Bookmark18"/>
            <w:bookmarkEnd w:id="6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(5)</w:t>
            </w:r>
            <w:r>
              <w:fldChar w:fldCharType="end"/>
            </w:r>
            <w:bookmarkEnd w:id="7"/>
          </w:p>
        </w:tc>
        <w:tc>
          <w:tcPr>
            <w:tcW w:w="113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Varanasi,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26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Open label randomized prospective trial</w:t>
            </w:r>
          </w:p>
        </w:tc>
        <w:tc>
          <w:tcPr>
            <w:tcW w:w="182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corticosteroids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(50 patients, remaining 45)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placebo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(50 patients, 47 remaining)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prednisolone (oral)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 mg/kg body weight/day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7 days + tapering off 3 days</w:t>
            </w:r>
          </w:p>
        </w:tc>
        <w:tc>
          <w:tcPr>
            <w:tcW w:w="140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carbamazepine (10 mg/kg/day)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phenytoin (5-7 mg/kg/day)</w:t>
            </w:r>
          </w:p>
        </w:tc>
        <w:tc>
          <w:tcPr>
            <w:tcW w:w="98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8-12 weeks,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12 months</w:t>
            </w:r>
          </w:p>
        </w:tc>
        <w:tc>
          <w:tcPr>
            <w:tcW w:w="2246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5 patients (including 2 patients, where AED dose was built up)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</w:t>
            </w:r>
          </w:p>
          <w:p w:rsidR="00516036" w:rsidRPr="00787DC4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12 </w:t>
            </w:r>
            <w:r w:rsidRPr="00787D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patients (including 7, where dose was built up)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787DC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(12 months)</w:t>
            </w:r>
          </w:p>
        </w:tc>
        <w:tc>
          <w:tcPr>
            <w:tcW w:w="2779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Complete cyst resolution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32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24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Partial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11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8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Calcifications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2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(8-12 weeks)</w:t>
            </w:r>
          </w:p>
        </w:tc>
      </w:tr>
      <w:tr w:rsidR="00516036" w:rsidTr="00804531">
        <w:tc>
          <w:tcPr>
            <w:tcW w:w="1117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Mall et al. 2003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</w:instrText>
            </w:r>
            <w:r>
              <w:fldChar w:fldCharType="end"/>
            </w:r>
            <w:bookmarkStart w:id="8" w:name="Bookmark21"/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9" w:name="Bookmark20"/>
            <w:bookmarkEnd w:id="8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(6)</w:t>
            </w:r>
            <w:r>
              <w:fldChar w:fldCharType="end"/>
            </w:r>
            <w:bookmarkEnd w:id="9"/>
          </w:p>
        </w:tc>
        <w:tc>
          <w:tcPr>
            <w:tcW w:w="113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Lucknow, India</w:t>
            </w:r>
          </w:p>
        </w:tc>
        <w:tc>
          <w:tcPr>
            <w:tcW w:w="126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Open label randomized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prospective follow-up trial</w:t>
            </w:r>
          </w:p>
        </w:tc>
        <w:tc>
          <w:tcPr>
            <w:tcW w:w="182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Group A: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corticosteroids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(49 patients)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(48 patients)</w:t>
            </w:r>
          </w:p>
        </w:tc>
        <w:tc>
          <w:tcPr>
            <w:tcW w:w="154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 xml:space="preserve">prednisolone (oral) 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1 mg/kg/day single-dose administration for 10 days followed by tapering over the next 4 days, a 20% reduction each day</w:t>
            </w:r>
          </w:p>
        </w:tc>
        <w:tc>
          <w:tcPr>
            <w:tcW w:w="140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carbamazepine or sodium phenytoin</w:t>
            </w:r>
          </w:p>
        </w:tc>
        <w:tc>
          <w:tcPr>
            <w:tcW w:w="98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 month,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6 months</w:t>
            </w:r>
          </w:p>
        </w:tc>
        <w:tc>
          <w:tcPr>
            <w:tcW w:w="2246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3 patients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 xml:space="preserve">Group B: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13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bookmarkStart w:id="10" w:name="__DdeLink__2150_537212470"/>
            <w:bookmarkEnd w:id="10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(6 months)</w:t>
            </w:r>
          </w:p>
        </w:tc>
        <w:tc>
          <w:tcPr>
            <w:tcW w:w="2779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lastRenderedPageBreak/>
              <w:t>Complete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25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11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Partial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14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9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(1 month)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Complete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43 patients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25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Partial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2 patients Group B: 8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Calcifications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3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5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(6 months)</w:t>
            </w:r>
          </w:p>
        </w:tc>
      </w:tr>
      <w:tr w:rsidR="00516036" w:rsidTr="00804531">
        <w:tc>
          <w:tcPr>
            <w:tcW w:w="1117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lastRenderedPageBreak/>
              <w:t>Singla et al. 2011</w:t>
            </w:r>
          </w:p>
          <w:p w:rsidR="00516036" w:rsidRDefault="00516036" w:rsidP="00804531">
            <w:pPr>
              <w:spacing w:after="0" w:line="240" w:lineRule="auto"/>
              <w:jc w:val="right"/>
            </w:pPr>
            <w:r>
              <w:fldChar w:fldCharType="begin"/>
            </w:r>
            <w:r>
              <w:instrText>ADDIN EN.CITE</w:instrText>
            </w:r>
            <w:r>
              <w:fldChar w:fldCharType="end"/>
            </w:r>
            <w:bookmarkStart w:id="11" w:name="Bookmark23"/>
            <w:r>
              <w:fldChar w:fldCharType="begin"/>
            </w:r>
            <w:r>
              <w:instrText>ADDIN EN.CITE.DATA</w:instrText>
            </w:r>
            <w:r>
              <w:fldChar w:fldCharType="separate"/>
            </w:r>
            <w:bookmarkStart w:id="12" w:name="Bookmark22"/>
            <w:bookmarkEnd w:id="11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/>
              </w:rPr>
              <w:t>(7)</w:t>
            </w:r>
            <w:r>
              <w:fldChar w:fldCharType="end"/>
            </w:r>
            <w:bookmarkEnd w:id="12"/>
          </w:p>
        </w:tc>
        <w:tc>
          <w:tcPr>
            <w:tcW w:w="1130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Chandigarh, India</w:t>
            </w:r>
          </w:p>
        </w:tc>
        <w:tc>
          <w:tcPr>
            <w:tcW w:w="126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Randomized, double-blind, placebo-controlled trial</w:t>
            </w:r>
          </w:p>
        </w:tc>
        <w:tc>
          <w:tcPr>
            <w:tcW w:w="1825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corticosteroids</w:t>
            </w:r>
          </w:p>
          <w:p w:rsidR="00516036" w:rsidRPr="00867498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(73 patients, remaining 62 patients, </w:t>
            </w:r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at </w:t>
            </w:r>
            <w:proofErr w:type="gramStart"/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6 month</w:t>
            </w:r>
            <w:proofErr w:type="gramEnd"/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MRI: 60 patients)</w:t>
            </w:r>
          </w:p>
          <w:p w:rsidR="00516036" w:rsidRPr="00867498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516036" w:rsidRPr="00867498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</w:t>
            </w:r>
          </w:p>
          <w:p w:rsidR="00516036" w:rsidRPr="00867498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AED + placebo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(75 patients, remaining 63, at </w:t>
            </w:r>
            <w:proofErr w:type="gramStart"/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6 month</w:t>
            </w:r>
            <w:proofErr w:type="gramEnd"/>
            <w:r w:rsidRPr="0086749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MRI: 54 patients)</w:t>
            </w:r>
          </w:p>
        </w:tc>
        <w:tc>
          <w:tcPr>
            <w:tcW w:w="154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prednisolone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(oral)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40-60 mg/ day</w:t>
            </w:r>
            <w:r>
              <w:rPr>
                <w:rStyle w:val="Funotenanker"/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) for 2 weeks followed by tapering doses over 4 days</w:t>
            </w:r>
          </w:p>
        </w:tc>
        <w:tc>
          <w:tcPr>
            <w:tcW w:w="1403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carbamazepine (12 tablets 15mg/kg/day, dose increased to 30 mg/kg/ day in case of recurrent seizures) or phenytoin (3-66 mg/kg/day)</w:t>
            </w:r>
          </w:p>
        </w:tc>
        <w:tc>
          <w:tcPr>
            <w:tcW w:w="981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3 months, 6 months,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9 months</w:t>
            </w:r>
          </w:p>
        </w:tc>
        <w:tc>
          <w:tcPr>
            <w:tcW w:w="2246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16 patients 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B: 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19 patients</w:t>
            </w:r>
          </w:p>
          <w:p w:rsidR="00516036" w:rsidRDefault="00516036" w:rsidP="008045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(9 months)</w:t>
            </w:r>
          </w:p>
        </w:tc>
        <w:tc>
          <w:tcPr>
            <w:tcW w:w="2779" w:type="dxa"/>
            <w:shd w:val="clear" w:color="auto" w:fill="auto"/>
          </w:tcPr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Complete cyst resolution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27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23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Calcifications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A: 8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6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(3 months)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Complete cyst resolution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Group A: 28 patients 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Group B: 21 patients</w:t>
            </w:r>
          </w:p>
          <w:p w:rsidR="00516036" w:rsidRDefault="00516036" w:rsidP="00804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>(6 months)</w:t>
            </w:r>
          </w:p>
        </w:tc>
      </w:tr>
    </w:tbl>
    <w:p w:rsidR="00976258" w:rsidRDefault="00976258" w:rsidP="00516036">
      <w:bookmarkStart w:id="13" w:name="_GoBack"/>
      <w:bookmarkEnd w:id="13"/>
    </w:p>
    <w:sectPr w:rsidR="00976258" w:rsidSect="0051603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C5" w:rsidRDefault="00237AC5" w:rsidP="00516036">
      <w:pPr>
        <w:spacing w:after="0" w:line="240" w:lineRule="auto"/>
      </w:pPr>
      <w:r>
        <w:separator/>
      </w:r>
    </w:p>
  </w:endnote>
  <w:endnote w:type="continuationSeparator" w:id="0">
    <w:p w:rsidR="00237AC5" w:rsidRDefault="00237AC5" w:rsidP="0051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C5" w:rsidRDefault="00237AC5" w:rsidP="00516036">
      <w:pPr>
        <w:spacing w:after="0" w:line="240" w:lineRule="auto"/>
      </w:pPr>
      <w:r>
        <w:separator/>
      </w:r>
    </w:p>
  </w:footnote>
  <w:footnote w:type="continuationSeparator" w:id="0">
    <w:p w:rsidR="00237AC5" w:rsidRDefault="00237AC5" w:rsidP="00516036">
      <w:pPr>
        <w:spacing w:after="0" w:line="240" w:lineRule="auto"/>
      </w:pPr>
      <w:r>
        <w:continuationSeparator/>
      </w:r>
    </w:p>
  </w:footnote>
  <w:footnote w:id="1">
    <w:p w:rsidR="00516036" w:rsidRPr="00787DC4" w:rsidRDefault="00516036" w:rsidP="00516036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787DC4">
        <w:rPr>
          <w:lang w:val="en-GB"/>
        </w:rPr>
        <w:t xml:space="preserve"> „A repeat plain and contrast enhanced CT scan was</w:t>
      </w:r>
      <w:r>
        <w:rPr>
          <w:lang w:val="en-GB"/>
        </w:rPr>
        <w:t xml:space="preserve"> done on follow up at 12 </w:t>
      </w:r>
      <w:proofErr w:type="gramStart"/>
      <w:r>
        <w:rPr>
          <w:lang w:val="en-GB"/>
        </w:rPr>
        <w:t>weeks.(</w:t>
      </w:r>
      <w:proofErr w:type="gramEnd"/>
      <w:r>
        <w:rPr>
          <w:lang w:val="en-GB"/>
        </w:rPr>
        <w:t xml:space="preserve">…) Cases who had persistence of the lesion, were put on albendazole and excluded from the study.” </w:t>
      </w:r>
    </w:p>
  </w:footnote>
  <w:footnote w:id="2">
    <w:p w:rsidR="00516036" w:rsidRPr="00D738BD" w:rsidRDefault="00516036" w:rsidP="00516036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rStyle w:val="FootnoteCharacters"/>
          <w:lang w:val="en-GB"/>
        </w:rPr>
        <w:tab/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val="en-US"/>
        </w:rPr>
        <w:t>three tablets of 20 mg each for subjects &gt;40 kg and two tablets of 20 mg each for those &lt;40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NTO1NDM1MwMyzZV0lIJTi4sz8/NACgxrASyrKBksAAAA"/>
  </w:docVars>
  <w:rsids>
    <w:rsidRoot w:val="00516036"/>
    <w:rsid w:val="00237AC5"/>
    <w:rsid w:val="00516036"/>
    <w:rsid w:val="00976258"/>
    <w:rsid w:val="00C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EDEC"/>
  <w15:chartTrackingRefBased/>
  <w15:docId w15:val="{B948A59B-A963-40C8-A842-19444D18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036"/>
    <w:pPr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KBodyChar">
    <w:name w:val="JK Body Char"/>
    <w:basedOn w:val="Absatz-Standardschriftart"/>
    <w:link w:val="JKBody"/>
    <w:qFormat/>
    <w:rsid w:val="00516036"/>
    <w:rPr>
      <w:sz w:val="20"/>
      <w:lang w:val="en"/>
    </w:rPr>
  </w:style>
  <w:style w:type="character" w:customStyle="1" w:styleId="Ohne">
    <w:name w:val="Ohne"/>
    <w:qFormat/>
    <w:rsid w:val="00516036"/>
  </w:style>
  <w:style w:type="character" w:customStyle="1" w:styleId="FunotentextZchn">
    <w:name w:val="Fußnotentext Zchn"/>
    <w:link w:val="Funotentext"/>
    <w:uiPriority w:val="99"/>
    <w:qFormat/>
    <w:rsid w:val="00516036"/>
    <w:rPr>
      <w:color w:val="00000A"/>
      <w:szCs w:val="20"/>
    </w:rPr>
  </w:style>
  <w:style w:type="character" w:customStyle="1" w:styleId="FootnoteCharacters">
    <w:name w:val="Footnote Characters"/>
    <w:qFormat/>
    <w:rsid w:val="00516036"/>
  </w:style>
  <w:style w:type="character" w:styleId="Funotenzeichen">
    <w:name w:val="footnote reference"/>
    <w:qFormat/>
    <w:rsid w:val="00516036"/>
  </w:style>
  <w:style w:type="character" w:customStyle="1" w:styleId="Funotenanker">
    <w:name w:val="Fußnotenanker"/>
    <w:rsid w:val="00516036"/>
    <w:rPr>
      <w:vertAlign w:val="superscript"/>
    </w:rPr>
  </w:style>
  <w:style w:type="paragraph" w:customStyle="1" w:styleId="JKBody">
    <w:name w:val="JK Body"/>
    <w:basedOn w:val="KeinLeerraum"/>
    <w:link w:val="JKBodyChar"/>
    <w:qFormat/>
    <w:rsid w:val="00516036"/>
    <w:rPr>
      <w:rFonts w:asciiTheme="minorHAnsi" w:eastAsiaTheme="minorHAnsi" w:hAnsiTheme="minorHAnsi" w:cstheme="minorBidi"/>
      <w:color w:val="auto"/>
      <w:sz w:val="20"/>
      <w:lang w:val="en"/>
    </w:rPr>
  </w:style>
  <w:style w:type="paragraph" w:styleId="Listenabsatz">
    <w:name w:val="List Paragraph"/>
    <w:qFormat/>
    <w:rsid w:val="00516036"/>
    <w:pPr>
      <w:spacing w:after="0" w:line="36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Funotentext">
    <w:name w:val="footnote text"/>
    <w:basedOn w:val="Standard"/>
    <w:link w:val="FunotentextZchn"/>
    <w:uiPriority w:val="99"/>
    <w:rsid w:val="00516036"/>
    <w:rPr>
      <w:rFonts w:asciiTheme="minorHAnsi" w:eastAsiaTheme="minorHAnsi" w:hAnsiTheme="minorHAnsi" w:cstheme="minorBidi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516036"/>
    <w:rPr>
      <w:rFonts w:ascii="Calibri" w:eastAsia="Calibri" w:hAnsi="Calibri" w:cs="Tahoma"/>
      <w:color w:val="00000A"/>
      <w:sz w:val="20"/>
      <w:szCs w:val="20"/>
    </w:rPr>
  </w:style>
  <w:style w:type="table" w:styleId="Tabellenraster">
    <w:name w:val="Table Grid"/>
    <w:basedOn w:val="NormaleTabelle"/>
    <w:uiPriority w:val="39"/>
    <w:rsid w:val="00516036"/>
    <w:pPr>
      <w:spacing w:after="0" w:line="240" w:lineRule="auto"/>
    </w:pPr>
    <w:rPr>
      <w:sz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16036"/>
    <w:pPr>
      <w:spacing w:after="0" w:line="240" w:lineRule="auto"/>
    </w:pPr>
    <w:rPr>
      <w:rFonts w:ascii="Calibri" w:eastAsia="Calibri" w:hAnsi="Calibri" w:cs="Tahoma"/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03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ri23jiz</dc:creator>
  <cp:keywords/>
  <dc:description/>
  <cp:lastModifiedBy>ri23jiz</cp:lastModifiedBy>
  <cp:revision>2</cp:revision>
  <dcterms:created xsi:type="dcterms:W3CDTF">2021-01-17T11:31:00Z</dcterms:created>
  <dcterms:modified xsi:type="dcterms:W3CDTF">2021-01-17T11:31:00Z</dcterms:modified>
</cp:coreProperties>
</file>