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69C0" w14:textId="74206A6C" w:rsidR="00694B28" w:rsidRPr="007A5AB8" w:rsidRDefault="00694B28" w:rsidP="00694B28">
      <w:pPr>
        <w:spacing w:line="480" w:lineRule="auto"/>
        <w:rPr>
          <w:rFonts w:ascii="Arial" w:hAnsi="Arial" w:cs="Arial"/>
          <w:b/>
          <w:bCs/>
          <w:sz w:val="24"/>
          <w:szCs w:val="24"/>
        </w:rPr>
      </w:pPr>
      <w:r w:rsidRPr="007A5AB8">
        <w:rPr>
          <w:rFonts w:ascii="Arial" w:hAnsi="Arial" w:cs="Arial"/>
          <w:b/>
          <w:bCs/>
          <w:sz w:val="24"/>
          <w:szCs w:val="24"/>
        </w:rPr>
        <w:t>Supplement</w:t>
      </w:r>
      <w:r w:rsidR="007F2AF3">
        <w:rPr>
          <w:rFonts w:ascii="Arial" w:hAnsi="Arial" w:cs="Arial"/>
          <w:b/>
          <w:bCs/>
          <w:sz w:val="24"/>
          <w:szCs w:val="24"/>
        </w:rPr>
        <w:t>al</w:t>
      </w:r>
      <w:r w:rsidRPr="007A5AB8">
        <w:rPr>
          <w:rFonts w:ascii="Arial" w:hAnsi="Arial" w:cs="Arial"/>
          <w:b/>
          <w:bCs/>
          <w:sz w:val="24"/>
          <w:szCs w:val="24"/>
        </w:rPr>
        <w:t xml:space="preserve"> Methods:</w:t>
      </w:r>
    </w:p>
    <w:p w14:paraId="14DACE2F" w14:textId="77777777" w:rsidR="00694B28" w:rsidRPr="000B554A" w:rsidRDefault="00694B28" w:rsidP="00694B28">
      <w:pPr>
        <w:spacing w:line="480" w:lineRule="auto"/>
        <w:rPr>
          <w:rFonts w:ascii="Arial" w:hAnsi="Arial" w:cs="Arial"/>
          <w:b/>
          <w:bCs/>
          <w:u w:val="single"/>
        </w:rPr>
      </w:pPr>
      <w:r w:rsidRPr="000B554A">
        <w:rPr>
          <w:rFonts w:ascii="Arial" w:hAnsi="Arial" w:cs="Arial"/>
          <w:b/>
          <w:bCs/>
          <w:u w:val="single"/>
        </w:rPr>
        <w:t>Inhibition of L3 molting:</w:t>
      </w:r>
    </w:p>
    <w:p w14:paraId="292495FA" w14:textId="77777777" w:rsidR="00694B28" w:rsidRPr="000469C3" w:rsidRDefault="00694B28" w:rsidP="00694B28">
      <w:pPr>
        <w:autoSpaceDE w:val="0"/>
        <w:autoSpaceDN w:val="0"/>
        <w:adjustRightInd w:val="0"/>
        <w:spacing w:after="0" w:line="480" w:lineRule="auto"/>
        <w:rPr>
          <w:rFonts w:ascii="Arial" w:hAnsi="Arial" w:cs="Arial"/>
        </w:rPr>
      </w:pPr>
      <w:r w:rsidRPr="000469C3">
        <w:rPr>
          <w:rFonts w:ascii="Arial" w:hAnsi="Arial" w:cs="Arial"/>
        </w:rPr>
        <w:t xml:space="preserve">Cryopreserved </w:t>
      </w:r>
      <w:r w:rsidRPr="000469C3">
        <w:rPr>
          <w:rFonts w:ascii="Arial" w:hAnsi="Arial" w:cs="Arial"/>
          <w:i/>
          <w:iCs/>
        </w:rPr>
        <w:t>O</w:t>
      </w:r>
      <w:r w:rsidRPr="000469C3">
        <w:rPr>
          <w:rFonts w:ascii="Arial" w:hAnsi="Arial" w:cs="Arial"/>
        </w:rPr>
        <w:t xml:space="preserve">. </w:t>
      </w:r>
      <w:r w:rsidRPr="000469C3">
        <w:rPr>
          <w:rFonts w:ascii="Arial" w:hAnsi="Arial" w:cs="Arial"/>
          <w:i/>
          <w:iCs/>
        </w:rPr>
        <w:t xml:space="preserve">volvulus </w:t>
      </w:r>
      <w:r w:rsidRPr="000469C3">
        <w:rPr>
          <w:rFonts w:ascii="Arial" w:hAnsi="Arial" w:cs="Arial"/>
        </w:rPr>
        <w:t xml:space="preserve">L3 stage larvae were thawed and washed in medium that contains 1:1 NCTC-109 and IMDM supplemented with </w:t>
      </w:r>
      <w:proofErr w:type="spellStart"/>
      <w:r w:rsidRPr="000469C3">
        <w:rPr>
          <w:rFonts w:ascii="Arial" w:hAnsi="Arial" w:cs="Arial"/>
        </w:rPr>
        <w:t>Glutamax</w:t>
      </w:r>
      <w:proofErr w:type="spellEnd"/>
      <w:r w:rsidRPr="000469C3">
        <w:rPr>
          <w:rFonts w:ascii="Arial" w:hAnsi="Arial" w:cs="Arial"/>
        </w:rPr>
        <w:t xml:space="preserve"> (1x) and 2x Antibiotic-Antimycotic (Life Technologies). After washing, the larvae were dispersed in a 96-well plate (10 larvae/well) containing 1.5x10</w:t>
      </w:r>
      <w:r w:rsidRPr="000469C3">
        <w:rPr>
          <w:rFonts w:ascii="Arial" w:hAnsi="Arial" w:cs="Arial"/>
          <w:vertAlign w:val="superscript"/>
        </w:rPr>
        <w:t>5</w:t>
      </w:r>
      <w:r w:rsidRPr="000469C3">
        <w:rPr>
          <w:rFonts w:ascii="Arial" w:hAnsi="Arial" w:cs="Arial"/>
        </w:rPr>
        <w:t xml:space="preserve"> human Peripheral Mononuclear Blood Cells (PBMC) per well in 100 µl complete medium, which was supplemented with heat inactivated 20% fetal bovine serum (FBS, Sigma). Worms were cultured with and without various concentration of the drug at 37 ˚C in a 5% CO</w:t>
      </w:r>
      <w:r w:rsidRPr="000469C3">
        <w:rPr>
          <w:rFonts w:ascii="Arial" w:hAnsi="Arial" w:cs="Arial"/>
          <w:vertAlign w:val="subscript"/>
        </w:rPr>
        <w:t>2</w:t>
      </w:r>
      <w:r w:rsidRPr="000469C3">
        <w:rPr>
          <w:rFonts w:ascii="Arial" w:hAnsi="Arial" w:cs="Arial"/>
        </w:rPr>
        <w:t xml:space="preserve"> incubator until day 6 when the molting rate was estimated under an inverted microscope based on the presence of the highly motile L4 and the empty L3 cuticles. The percent inhibition of molting was calculated based on the number of treated</w:t>
      </w:r>
      <w:r>
        <w:rPr>
          <w:rFonts w:ascii="Arial" w:hAnsi="Arial" w:cs="Arial"/>
        </w:rPr>
        <w:t xml:space="preserve"> </w:t>
      </w:r>
      <w:r w:rsidRPr="000469C3">
        <w:rPr>
          <w:rFonts w:ascii="Arial" w:hAnsi="Arial" w:cs="Arial"/>
        </w:rPr>
        <w:t>larvae that were able to molt in comparison to the number of control larvae that had successfully</w:t>
      </w:r>
      <w:r>
        <w:rPr>
          <w:rFonts w:ascii="Arial" w:hAnsi="Arial" w:cs="Arial"/>
        </w:rPr>
        <w:t xml:space="preserve"> </w:t>
      </w:r>
      <w:r w:rsidRPr="000469C3">
        <w:rPr>
          <w:rFonts w:ascii="Arial" w:hAnsi="Arial" w:cs="Arial"/>
        </w:rPr>
        <w:t>molted.</w:t>
      </w:r>
    </w:p>
    <w:p w14:paraId="7B9A546F" w14:textId="77777777" w:rsidR="00694B28" w:rsidRPr="000469C3" w:rsidRDefault="00694B28" w:rsidP="00694B28">
      <w:pPr>
        <w:pStyle w:val="ListParagraph"/>
        <w:spacing w:line="480" w:lineRule="auto"/>
        <w:ind w:left="0"/>
        <w:rPr>
          <w:rFonts w:cs="Arial"/>
        </w:rPr>
      </w:pPr>
    </w:p>
    <w:p w14:paraId="6AA62480" w14:textId="77777777" w:rsidR="00694B28" w:rsidRPr="008719A5" w:rsidRDefault="00694B28" w:rsidP="00694B28">
      <w:pPr>
        <w:pStyle w:val="ListParagraph"/>
        <w:spacing w:line="480" w:lineRule="auto"/>
        <w:ind w:left="0"/>
        <w:rPr>
          <w:rFonts w:cs="Arial"/>
          <w:color w:val="000000" w:themeColor="text1"/>
          <w:kern w:val="24"/>
        </w:rPr>
      </w:pPr>
      <w:r w:rsidRPr="008719A5">
        <w:rPr>
          <w:rFonts w:cs="Arial"/>
        </w:rPr>
        <w:t>Tested compounds were dissolved in DMSO at a concentration of 10 mM and added to the L3s in 100 µl of complete media containing 2x the desired final concentration.</w:t>
      </w:r>
      <w:r w:rsidRPr="008719A5">
        <w:rPr>
          <w:rFonts w:ascii="MinionPro-Regular" w:hAnsi="MinionPro-Regular" w:cs="MinionPro-Regular"/>
        </w:rPr>
        <w:t xml:space="preserve"> </w:t>
      </w:r>
      <w:r w:rsidRPr="008719A5">
        <w:rPr>
          <w:rFonts w:cs="Arial"/>
          <w:color w:val="000000" w:themeColor="text1"/>
          <w:kern w:val="24"/>
        </w:rPr>
        <w:t>Ivermectin (</w:t>
      </w:r>
      <w:r w:rsidRPr="008719A5">
        <w:rPr>
          <w:rFonts w:cs="Arial"/>
        </w:rPr>
        <w:t xml:space="preserve">PHR1380, </w:t>
      </w:r>
      <w:r w:rsidRPr="008719A5">
        <w:rPr>
          <w:rStyle w:val="jp-italic"/>
          <w:rFonts w:cs="Arial"/>
          <w:color w:val="000000" w:themeColor="text1"/>
        </w:rPr>
        <w:t>Sigma Aldrich Inc.</w:t>
      </w:r>
      <w:r w:rsidRPr="008719A5">
        <w:rPr>
          <w:rFonts w:cs="Arial"/>
          <w:color w:val="000000" w:themeColor="text1"/>
          <w:kern w:val="24"/>
        </w:rPr>
        <w:t>) and moxidectin (</w:t>
      </w:r>
      <w:r w:rsidRPr="008719A5">
        <w:rPr>
          <w:rFonts w:cs="Arial"/>
          <w:color w:val="000000" w:themeColor="text1"/>
          <w:shd w:val="clear" w:color="auto" w:fill="FFFFFF"/>
        </w:rPr>
        <w:t>PHR1827</w:t>
      </w:r>
      <w:r w:rsidRPr="008719A5">
        <w:rPr>
          <w:rStyle w:val="jp-italic"/>
          <w:rFonts w:cs="Arial"/>
          <w:color w:val="000000" w:themeColor="text1"/>
        </w:rPr>
        <w:t>, Sigma Aldrich Inc.</w:t>
      </w:r>
      <w:r w:rsidRPr="008719A5">
        <w:rPr>
          <w:rFonts w:cs="Arial"/>
          <w:color w:val="000000" w:themeColor="text1"/>
          <w:kern w:val="24"/>
        </w:rPr>
        <w:t>) were tested in the range of 0.01 - 10 µM, albendazole (</w:t>
      </w:r>
      <w:r w:rsidRPr="008719A5">
        <w:rPr>
          <w:rFonts w:cs="Arial"/>
          <w:color w:val="333333"/>
          <w:shd w:val="clear" w:color="auto" w:fill="FFFFFF"/>
        </w:rPr>
        <w:t>A4673, Sigma Aldrich</w:t>
      </w:r>
      <w:r w:rsidRPr="008719A5">
        <w:rPr>
          <w:rFonts w:cs="Arial"/>
          <w:color w:val="000000" w:themeColor="text1"/>
          <w:kern w:val="24"/>
        </w:rPr>
        <w:t>), albendazole sulfoxide (35395, Sigma Aldrich) and oxfendazole (</w:t>
      </w:r>
      <w:r w:rsidRPr="008719A5">
        <w:rPr>
          <w:rFonts w:cs="Arial"/>
          <w:shd w:val="clear" w:color="auto" w:fill="FFFFFF"/>
        </w:rPr>
        <w:t>31476</w:t>
      </w:r>
      <w:r w:rsidRPr="008719A5">
        <w:rPr>
          <w:rStyle w:val="jp-italic"/>
          <w:rFonts w:cs="Arial"/>
          <w:color w:val="000000" w:themeColor="text1"/>
        </w:rPr>
        <w:t>, Sigma Aldrich Inc.</w:t>
      </w:r>
      <w:r w:rsidRPr="008719A5">
        <w:rPr>
          <w:rFonts w:cs="Arial"/>
          <w:color w:val="000000" w:themeColor="text1"/>
          <w:kern w:val="24"/>
        </w:rPr>
        <w:t xml:space="preserve">) in the range of 1 </w:t>
      </w:r>
      <w:proofErr w:type="spellStart"/>
      <w:r w:rsidRPr="008719A5">
        <w:rPr>
          <w:rFonts w:cs="Arial"/>
          <w:color w:val="000000" w:themeColor="text1"/>
          <w:kern w:val="24"/>
        </w:rPr>
        <w:t>nM</w:t>
      </w:r>
      <w:proofErr w:type="spellEnd"/>
      <w:r w:rsidRPr="008719A5">
        <w:rPr>
          <w:rFonts w:cs="Arial"/>
          <w:color w:val="000000" w:themeColor="text1"/>
          <w:kern w:val="24"/>
        </w:rPr>
        <w:t xml:space="preserve"> - 3 µM, and emodepside (Bayer) in the range of 0.3 </w:t>
      </w:r>
      <w:proofErr w:type="spellStart"/>
      <w:r w:rsidRPr="008719A5">
        <w:rPr>
          <w:rFonts w:cs="Arial"/>
          <w:color w:val="000000" w:themeColor="text1"/>
          <w:kern w:val="24"/>
        </w:rPr>
        <w:t>nM</w:t>
      </w:r>
      <w:proofErr w:type="spellEnd"/>
      <w:r w:rsidRPr="008719A5">
        <w:rPr>
          <w:rFonts w:cs="Arial"/>
          <w:color w:val="000000" w:themeColor="text1"/>
          <w:kern w:val="24"/>
        </w:rPr>
        <w:t xml:space="preserve"> – 1 µM using 3-fold dilutions. Each condition was tested in duplicates and repeated at least once. The IC</w:t>
      </w:r>
      <w:r w:rsidRPr="008719A5">
        <w:rPr>
          <w:rFonts w:cs="Arial"/>
          <w:color w:val="000000" w:themeColor="text1"/>
          <w:kern w:val="24"/>
          <w:vertAlign w:val="subscript"/>
        </w:rPr>
        <w:t>50</w:t>
      </w:r>
      <w:r w:rsidRPr="008719A5">
        <w:rPr>
          <w:rFonts w:cs="Arial"/>
          <w:color w:val="000000" w:themeColor="text1"/>
          <w:kern w:val="24"/>
        </w:rPr>
        <w:t xml:space="preserve"> and IC</w:t>
      </w:r>
      <w:r w:rsidRPr="008719A5">
        <w:rPr>
          <w:rFonts w:cs="Arial"/>
          <w:color w:val="000000" w:themeColor="text1"/>
          <w:kern w:val="24"/>
          <w:vertAlign w:val="subscript"/>
        </w:rPr>
        <w:t>90</w:t>
      </w:r>
      <w:r w:rsidRPr="008719A5">
        <w:rPr>
          <w:rFonts w:cs="Arial"/>
          <w:color w:val="000000" w:themeColor="text1"/>
          <w:kern w:val="24"/>
        </w:rPr>
        <w:t xml:space="preserve"> were derived from non-linear regression (curve fit) analysis on GraphPad Prism 6 with 95% confidence intervals.</w:t>
      </w:r>
    </w:p>
    <w:p w14:paraId="02D33E36" w14:textId="77777777" w:rsidR="00694B28" w:rsidRPr="00220486" w:rsidRDefault="00694B28" w:rsidP="00694B28">
      <w:pPr>
        <w:autoSpaceDE w:val="0"/>
        <w:autoSpaceDN w:val="0"/>
        <w:adjustRightInd w:val="0"/>
        <w:spacing w:after="0" w:line="240" w:lineRule="auto"/>
        <w:rPr>
          <w:rFonts w:ascii="Arial" w:hAnsi="Arial" w:cs="Arial"/>
        </w:rPr>
      </w:pPr>
    </w:p>
    <w:p w14:paraId="7D064CD2" w14:textId="77777777" w:rsidR="00694B28" w:rsidRPr="000B554A" w:rsidRDefault="00694B28" w:rsidP="00694B28">
      <w:pPr>
        <w:spacing w:line="480" w:lineRule="auto"/>
        <w:rPr>
          <w:rFonts w:ascii="Arial" w:hAnsi="Arial" w:cs="Arial"/>
          <w:b/>
          <w:bCs/>
          <w:u w:val="single"/>
        </w:rPr>
      </w:pPr>
      <w:r w:rsidRPr="000B554A">
        <w:rPr>
          <w:rFonts w:ascii="Arial" w:hAnsi="Arial" w:cs="Arial"/>
          <w:b/>
          <w:bCs/>
          <w:u w:val="single"/>
        </w:rPr>
        <w:t xml:space="preserve">Inhibition of L4 motility: </w:t>
      </w:r>
    </w:p>
    <w:p w14:paraId="75BDFEC3" w14:textId="734B505C" w:rsidR="00694B28" w:rsidRPr="008719A5" w:rsidRDefault="00694B28" w:rsidP="00694B28">
      <w:pPr>
        <w:autoSpaceDE w:val="0"/>
        <w:autoSpaceDN w:val="0"/>
        <w:adjustRightInd w:val="0"/>
        <w:spacing w:after="0" w:line="480" w:lineRule="auto"/>
        <w:rPr>
          <w:rFonts w:ascii="Arial" w:hAnsi="Arial" w:cs="Arial"/>
        </w:rPr>
      </w:pPr>
      <w:r w:rsidRPr="00220486">
        <w:rPr>
          <w:rFonts w:ascii="Arial" w:hAnsi="Arial" w:cs="Arial"/>
        </w:rPr>
        <w:t>L3 washed larvae were dispersed in a 96-well plate (10 larvae/well) containing 1.5</w:t>
      </w:r>
      <w:r>
        <w:rPr>
          <w:rFonts w:ascii="Arial" w:hAnsi="Arial" w:cs="Arial"/>
        </w:rPr>
        <w:t xml:space="preserve"> </w:t>
      </w:r>
      <w:r w:rsidRPr="00220486">
        <w:rPr>
          <w:rFonts w:ascii="Arial" w:hAnsi="Arial" w:cs="Arial"/>
        </w:rPr>
        <w:t>x10</w:t>
      </w:r>
      <w:r w:rsidRPr="00220486">
        <w:rPr>
          <w:rFonts w:ascii="Arial" w:hAnsi="Arial" w:cs="Arial"/>
          <w:vertAlign w:val="superscript"/>
        </w:rPr>
        <w:t>5</w:t>
      </w:r>
      <w:r w:rsidRPr="00220486">
        <w:rPr>
          <w:rFonts w:ascii="Arial" w:hAnsi="Arial" w:cs="Arial"/>
        </w:rPr>
        <w:t xml:space="preserve"> PBMC per well in complete medium at 37 ˚C and </w:t>
      </w:r>
      <w:r>
        <w:rPr>
          <w:rFonts w:ascii="Arial" w:hAnsi="Arial" w:cs="Arial"/>
        </w:rPr>
        <w:t xml:space="preserve">in </w:t>
      </w:r>
      <w:r w:rsidRPr="00220486">
        <w:rPr>
          <w:rFonts w:ascii="Arial" w:hAnsi="Arial" w:cs="Arial"/>
        </w:rPr>
        <w:t>5% CO</w:t>
      </w:r>
      <w:r w:rsidRPr="00220486">
        <w:rPr>
          <w:rFonts w:ascii="Arial" w:hAnsi="Arial" w:cs="Arial"/>
          <w:vertAlign w:val="subscript"/>
        </w:rPr>
        <w:t>2</w:t>
      </w:r>
      <w:r w:rsidRPr="00220486">
        <w:rPr>
          <w:rFonts w:ascii="Arial" w:hAnsi="Arial" w:cs="Arial"/>
        </w:rPr>
        <w:t xml:space="preserve"> </w:t>
      </w:r>
      <w:r>
        <w:rPr>
          <w:rFonts w:ascii="Arial" w:hAnsi="Arial" w:cs="Arial"/>
        </w:rPr>
        <w:t xml:space="preserve">incubator </w:t>
      </w:r>
      <w:r w:rsidRPr="00220486">
        <w:rPr>
          <w:rFonts w:ascii="Arial" w:hAnsi="Arial" w:cs="Arial"/>
        </w:rPr>
        <w:t xml:space="preserve">until day </w:t>
      </w:r>
      <w:r>
        <w:rPr>
          <w:rFonts w:ascii="Arial" w:hAnsi="Arial" w:cs="Arial"/>
        </w:rPr>
        <w:t>5</w:t>
      </w:r>
      <w:r w:rsidRPr="00220486">
        <w:rPr>
          <w:rFonts w:ascii="Arial" w:hAnsi="Arial" w:cs="Arial"/>
        </w:rPr>
        <w:t xml:space="preserve">. The highly motile </w:t>
      </w:r>
      <w:r w:rsidRPr="00220486">
        <w:rPr>
          <w:rFonts w:ascii="Arial" w:hAnsi="Arial" w:cs="Arial"/>
        </w:rPr>
        <w:lastRenderedPageBreak/>
        <w:t xml:space="preserve">L4s were </w:t>
      </w:r>
      <w:r>
        <w:rPr>
          <w:rFonts w:ascii="Arial" w:hAnsi="Arial" w:cs="Arial"/>
        </w:rPr>
        <w:t xml:space="preserve">then </w:t>
      </w:r>
      <w:r w:rsidRPr="00220486">
        <w:rPr>
          <w:rFonts w:ascii="Arial" w:hAnsi="Arial" w:cs="Arial"/>
        </w:rPr>
        <w:t xml:space="preserve">transferred into a petri dish containing complete medium and aliquots of </w:t>
      </w:r>
      <w:r>
        <w:rPr>
          <w:rFonts w:ascii="Arial" w:hAnsi="Arial" w:cs="Arial"/>
        </w:rPr>
        <w:t>6 - 8</w:t>
      </w:r>
      <w:r w:rsidRPr="00220486">
        <w:rPr>
          <w:rFonts w:ascii="Arial" w:hAnsi="Arial" w:cs="Arial"/>
        </w:rPr>
        <w:t xml:space="preserve"> worms were retrieved from</w:t>
      </w:r>
      <w:r>
        <w:rPr>
          <w:rFonts w:ascii="Arial" w:hAnsi="Arial" w:cs="Arial"/>
        </w:rPr>
        <w:t xml:space="preserve"> </w:t>
      </w:r>
      <w:r w:rsidRPr="00220486">
        <w:rPr>
          <w:rFonts w:ascii="Arial" w:hAnsi="Arial" w:cs="Arial"/>
        </w:rPr>
        <w:t xml:space="preserve">the petri dish and placed into a 96-well plate (8-10 larvae/well) in 100 µl of media. </w:t>
      </w:r>
      <w:r w:rsidRPr="008719A5">
        <w:rPr>
          <w:rFonts w:ascii="Arial" w:hAnsi="Arial" w:cs="Arial"/>
        </w:rPr>
        <w:t>Tested compounds were dissolved in DMSO at a concentration of 10 mM and added to the L</w:t>
      </w:r>
      <w:r>
        <w:rPr>
          <w:rFonts w:ascii="Arial" w:hAnsi="Arial" w:cs="Arial"/>
        </w:rPr>
        <w:t>4</w:t>
      </w:r>
      <w:r w:rsidRPr="008719A5">
        <w:rPr>
          <w:rFonts w:ascii="Arial" w:hAnsi="Arial" w:cs="Arial"/>
        </w:rPr>
        <w:t>s in 100 µl of complete media containing 2x the desired final concentration.</w:t>
      </w:r>
      <w:r>
        <w:rPr>
          <w:rFonts w:ascii="Arial" w:hAnsi="Arial" w:cs="Arial"/>
        </w:rPr>
        <w:t xml:space="preserve"> </w:t>
      </w:r>
      <w:r w:rsidRPr="000B554A">
        <w:rPr>
          <w:rFonts w:ascii="Arial" w:hAnsi="Arial" w:cs="Arial"/>
        </w:rPr>
        <w:t>I</w:t>
      </w:r>
      <w:r w:rsidRPr="000B554A">
        <w:rPr>
          <w:rFonts w:ascii="Arial" w:hAnsi="Arial" w:cs="Arial"/>
          <w:color w:val="000000" w:themeColor="text1"/>
          <w:kern w:val="24"/>
        </w:rPr>
        <w:t xml:space="preserve">vermectin and moxidectin: 0.01 to 30 µM at 3-fold dilutions, and emodepside: 0.03 </w:t>
      </w:r>
      <w:proofErr w:type="spellStart"/>
      <w:r w:rsidRPr="000B554A">
        <w:rPr>
          <w:rFonts w:ascii="Arial" w:hAnsi="Arial" w:cs="Arial"/>
          <w:color w:val="000000" w:themeColor="text1"/>
          <w:kern w:val="24"/>
        </w:rPr>
        <w:t>nM</w:t>
      </w:r>
      <w:proofErr w:type="spellEnd"/>
      <w:r w:rsidRPr="000B554A">
        <w:rPr>
          <w:rFonts w:ascii="Arial" w:hAnsi="Arial" w:cs="Arial"/>
          <w:color w:val="000000" w:themeColor="text1"/>
          <w:kern w:val="24"/>
        </w:rPr>
        <w:t xml:space="preserve"> to 3 µM at 10-fold dilutions and 10 µM.</w:t>
      </w:r>
      <w:r w:rsidRPr="000469C3">
        <w:rPr>
          <w:rFonts w:ascii="Arial" w:hAnsi="Arial" w:cs="Arial"/>
          <w:color w:val="000000" w:themeColor="text1"/>
          <w:kern w:val="24"/>
        </w:rPr>
        <w:t xml:space="preserve"> </w:t>
      </w:r>
      <w:r w:rsidRPr="000469C3">
        <w:rPr>
          <w:rFonts w:ascii="Arial" w:hAnsi="Arial" w:cs="Arial"/>
        </w:rPr>
        <w:t xml:space="preserve">Motility was evaluated manually every day under an inverted microscope until day 6. </w:t>
      </w:r>
      <w:r w:rsidRPr="000469C3">
        <w:rPr>
          <w:rFonts w:ascii="Arial" w:hAnsi="Arial" w:cs="Arial"/>
          <w:color w:val="000000" w:themeColor="text1"/>
          <w:kern w:val="24"/>
        </w:rPr>
        <w:t xml:space="preserve">Each condition was tested in duplicates and repeated at least once. </w:t>
      </w:r>
      <w:r w:rsidRPr="000469C3">
        <w:rPr>
          <w:rFonts w:ascii="Arial" w:hAnsi="Arial" w:cs="Arial"/>
        </w:rPr>
        <w:t>Motility was scored based on the following scale: 100%</w:t>
      </w:r>
      <w:r>
        <w:rPr>
          <w:rFonts w:ascii="Arial" w:hAnsi="Arial" w:cs="Arial"/>
        </w:rPr>
        <w:t xml:space="preserve"> </w:t>
      </w:r>
      <w:r w:rsidRPr="000469C3">
        <w:rPr>
          <w:rFonts w:ascii="Arial" w:hAnsi="Arial" w:cs="Arial"/>
        </w:rPr>
        <w:t>motility, constant coiling movement; 75% motility, slower coiling; 50% motility, slow and intermittent movement; 25% motility, very slow movement, or</w:t>
      </w:r>
      <w:r>
        <w:rPr>
          <w:rFonts w:ascii="Arial" w:hAnsi="Arial" w:cs="Arial"/>
        </w:rPr>
        <w:t xml:space="preserve"> </w:t>
      </w:r>
      <w:r w:rsidRPr="000469C3">
        <w:rPr>
          <w:rFonts w:ascii="Arial" w:hAnsi="Arial" w:cs="Arial"/>
        </w:rPr>
        <w:t>twitching; and 0% motility, no movement.</w:t>
      </w:r>
      <w:r>
        <w:rPr>
          <w:rFonts w:ascii="Arial" w:hAnsi="Arial" w:cs="Arial"/>
        </w:rPr>
        <w:t xml:space="preserve"> </w:t>
      </w:r>
      <w:r w:rsidRPr="000469C3">
        <w:rPr>
          <w:rFonts w:ascii="Arial" w:hAnsi="Arial" w:cs="Arial"/>
        </w:rPr>
        <w:t>The percent inhibition of mo</w:t>
      </w:r>
      <w:r>
        <w:rPr>
          <w:rFonts w:ascii="Arial" w:hAnsi="Arial" w:cs="Arial"/>
        </w:rPr>
        <w:t>tility</w:t>
      </w:r>
      <w:r w:rsidRPr="000469C3">
        <w:rPr>
          <w:rFonts w:ascii="Arial" w:hAnsi="Arial" w:cs="Arial"/>
        </w:rPr>
        <w:t xml:space="preserve"> was calculated based on the </w:t>
      </w:r>
      <w:r>
        <w:rPr>
          <w:rFonts w:ascii="Arial" w:hAnsi="Arial" w:cs="Arial"/>
        </w:rPr>
        <w:t>% motility of the</w:t>
      </w:r>
      <w:r w:rsidRPr="000469C3">
        <w:rPr>
          <w:rFonts w:ascii="Arial" w:hAnsi="Arial" w:cs="Arial"/>
        </w:rPr>
        <w:t xml:space="preserve"> treated</w:t>
      </w:r>
      <w:r>
        <w:rPr>
          <w:rFonts w:ascii="Arial" w:hAnsi="Arial" w:cs="Arial"/>
        </w:rPr>
        <w:t xml:space="preserve"> </w:t>
      </w:r>
      <w:r w:rsidRPr="000469C3">
        <w:rPr>
          <w:rFonts w:ascii="Arial" w:hAnsi="Arial" w:cs="Arial"/>
        </w:rPr>
        <w:t xml:space="preserve">larvae in comparison to </w:t>
      </w:r>
      <w:r>
        <w:rPr>
          <w:rFonts w:ascii="Arial" w:hAnsi="Arial" w:cs="Arial"/>
        </w:rPr>
        <w:t>% motility of</w:t>
      </w:r>
      <w:r w:rsidRPr="000469C3">
        <w:rPr>
          <w:rFonts w:ascii="Arial" w:hAnsi="Arial" w:cs="Arial"/>
        </w:rPr>
        <w:t xml:space="preserve"> control larvae.</w:t>
      </w:r>
      <w:r>
        <w:rPr>
          <w:rFonts w:ascii="Arial" w:hAnsi="Arial" w:cs="Arial"/>
        </w:rPr>
        <w:t xml:space="preserve"> </w:t>
      </w:r>
      <w:r w:rsidRPr="000469C3">
        <w:rPr>
          <w:rFonts w:ascii="Arial" w:hAnsi="Arial" w:cs="Arial"/>
          <w:color w:val="000000" w:themeColor="text1"/>
          <w:kern w:val="24"/>
        </w:rPr>
        <w:t>The IC</w:t>
      </w:r>
      <w:r w:rsidRPr="000469C3">
        <w:rPr>
          <w:rFonts w:ascii="Arial" w:hAnsi="Arial" w:cs="Arial"/>
          <w:color w:val="000000" w:themeColor="text1"/>
          <w:kern w:val="24"/>
          <w:vertAlign w:val="subscript"/>
        </w:rPr>
        <w:t>50</w:t>
      </w:r>
      <w:r w:rsidRPr="000469C3">
        <w:rPr>
          <w:rFonts w:ascii="Arial" w:hAnsi="Arial" w:cs="Arial"/>
          <w:color w:val="000000" w:themeColor="text1"/>
          <w:kern w:val="24"/>
        </w:rPr>
        <w:t xml:space="preserve"> and IC</w:t>
      </w:r>
      <w:r w:rsidRPr="000469C3">
        <w:rPr>
          <w:rFonts w:ascii="Arial" w:hAnsi="Arial" w:cs="Arial"/>
          <w:color w:val="000000" w:themeColor="text1"/>
          <w:kern w:val="24"/>
          <w:vertAlign w:val="subscript"/>
        </w:rPr>
        <w:t>90</w:t>
      </w:r>
      <w:r w:rsidRPr="000469C3">
        <w:rPr>
          <w:rFonts w:ascii="Arial" w:hAnsi="Arial" w:cs="Arial"/>
          <w:color w:val="000000" w:themeColor="text1"/>
          <w:kern w:val="24"/>
        </w:rPr>
        <w:t xml:space="preserve"> were derived from non-linear regression (curve fit) analysis on GraphPad Prism 6 with 95% confidence intervals</w:t>
      </w:r>
      <w:r w:rsidRPr="008719A5">
        <w:rPr>
          <w:rFonts w:ascii="Arial" w:hAnsi="Arial" w:cs="Arial"/>
          <w:color w:val="000000" w:themeColor="text1"/>
          <w:kern w:val="24"/>
        </w:rPr>
        <w:t>.</w:t>
      </w:r>
    </w:p>
    <w:p w14:paraId="14E373F5" w14:textId="77777777" w:rsidR="00694B28" w:rsidRDefault="00694B28" w:rsidP="00694B28"/>
    <w:p w14:paraId="1FCC6C9B" w14:textId="77777777" w:rsidR="009061BE" w:rsidRDefault="009061BE" w:rsidP="00694B28"/>
    <w:sectPr w:rsidR="0090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28"/>
    <w:rsid w:val="00694B28"/>
    <w:rsid w:val="006D31A0"/>
    <w:rsid w:val="007F2AF3"/>
    <w:rsid w:val="009061BE"/>
    <w:rsid w:val="00C3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A511"/>
  <w15:chartTrackingRefBased/>
  <w15:docId w15:val="{311DCA49-A5A7-4F60-B533-32162C82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B28"/>
    <w:pPr>
      <w:spacing w:after="200" w:line="276" w:lineRule="auto"/>
      <w:ind w:left="720"/>
      <w:contextualSpacing/>
    </w:pPr>
    <w:rPr>
      <w:rFonts w:ascii="Arial" w:hAnsi="Arial"/>
    </w:rPr>
  </w:style>
  <w:style w:type="character" w:customStyle="1" w:styleId="jp-italic">
    <w:name w:val="jp-italic"/>
    <w:basedOn w:val="DefaultParagraphFont"/>
    <w:rsid w:val="00694B28"/>
  </w:style>
  <w:style w:type="paragraph" w:styleId="BalloonText">
    <w:name w:val="Balloon Text"/>
    <w:basedOn w:val="Normal"/>
    <w:link w:val="BalloonTextChar"/>
    <w:uiPriority w:val="99"/>
    <w:semiHidden/>
    <w:unhideWhenUsed/>
    <w:rsid w:val="007F2A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A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Lustigman, Sara</dc:creator>
  <cp:keywords/>
  <dc:description/>
  <cp:lastModifiedBy>Lustigman, Sara</cp:lastModifiedBy>
  <cp:revision>2</cp:revision>
  <dcterms:created xsi:type="dcterms:W3CDTF">2020-11-11T17:18:00Z</dcterms:created>
  <dcterms:modified xsi:type="dcterms:W3CDTF">2020-11-11T17:18:00Z</dcterms:modified>
</cp:coreProperties>
</file>