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FFED" w14:textId="77777777" w:rsidR="00FD7848" w:rsidRDefault="00FD7848" w:rsidP="00FD7848">
      <w:pPr>
        <w:rPr>
          <w:rFonts w:ascii="Times New Roman" w:hAnsi="Times New Roman" w:cs="Times New Roman"/>
          <w:b/>
        </w:rPr>
      </w:pPr>
      <w:r w:rsidRPr="00BF62A9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BF62A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District-level</w:t>
      </w:r>
      <w:r w:rsidRPr="00C82A0C">
        <w:rPr>
          <w:rFonts w:ascii="Times New Roman" w:hAnsi="Times New Roman" w:cs="Times New Roman"/>
          <w:b/>
        </w:rPr>
        <w:t xml:space="preserve"> deworming coverage in pre-school aged children using data reported to WHO and </w:t>
      </w:r>
      <w:r>
        <w:rPr>
          <w:rFonts w:ascii="Times New Roman" w:hAnsi="Times New Roman" w:cs="Times New Roman"/>
          <w:b/>
        </w:rPr>
        <w:t xml:space="preserve">estimated </w:t>
      </w:r>
      <w:r w:rsidRPr="00C82A0C">
        <w:rPr>
          <w:rFonts w:ascii="Times New Roman" w:hAnsi="Times New Roman" w:cs="Times New Roman"/>
          <w:b/>
        </w:rPr>
        <w:t xml:space="preserve">by DHS in </w:t>
      </w:r>
      <w:r>
        <w:rPr>
          <w:rFonts w:ascii="Times New Roman" w:hAnsi="Times New Roman" w:cs="Times New Roman"/>
          <w:b/>
        </w:rPr>
        <w:t>Myanmar</w:t>
      </w:r>
      <w:r w:rsidRPr="00C82A0C">
        <w:rPr>
          <w:rFonts w:ascii="Times New Roman" w:hAnsi="Times New Roman" w:cs="Times New Roman"/>
          <w:b/>
        </w:rPr>
        <w:t xml:space="preserve"> under base </w:t>
      </w:r>
      <w:r>
        <w:rPr>
          <w:rFonts w:ascii="Times New Roman" w:hAnsi="Times New Roman" w:cs="Times New Roman"/>
          <w:b/>
        </w:rPr>
        <w:t>case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159"/>
        <w:gridCol w:w="2016"/>
        <w:gridCol w:w="2016"/>
      </w:tblGrid>
      <w:tr w:rsidR="00FD7848" w:rsidRPr="006A7F23" w14:paraId="1F9BE5F5" w14:textId="77777777" w:rsidTr="006968A4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FFDF4B" w14:textId="77777777" w:rsidR="00FD7848" w:rsidRPr="006A7F23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District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4B2622ED" w14:textId="77777777" w:rsidR="00FD7848" w:rsidRPr="006A7F23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WHO coverage (%)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116C068" w14:textId="77777777" w:rsidR="00FD7848" w:rsidRPr="006A7F23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DHS coverage (%), SE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30E0153F" w14:textId="77777777" w:rsidR="00FD7848" w:rsidRPr="006A7F23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Difference in coverage (%)</w:t>
            </w:r>
          </w:p>
        </w:tc>
      </w:tr>
      <w:tr w:rsidR="00FD7848" w14:paraId="4D7BA867" w14:textId="77777777" w:rsidTr="006968A4"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14:paraId="3AD1BA33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Ayeyarwaddy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1AE11A56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93.5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8BC069F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47.0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4.1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056D022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46.5</w:t>
            </w:r>
          </w:p>
        </w:tc>
      </w:tr>
      <w:tr w:rsidR="00FD7848" w14:paraId="7CF79A2B" w14:textId="77777777" w:rsidTr="006968A4">
        <w:tc>
          <w:tcPr>
            <w:tcW w:w="2070" w:type="dxa"/>
            <w:vAlign w:val="bottom"/>
          </w:tcPr>
          <w:p w14:paraId="1BF86198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Bago</w:t>
            </w:r>
            <w:proofErr w:type="spellEnd"/>
          </w:p>
        </w:tc>
        <w:tc>
          <w:tcPr>
            <w:tcW w:w="2159" w:type="dxa"/>
          </w:tcPr>
          <w:p w14:paraId="22C4C675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93.9</w:t>
            </w:r>
          </w:p>
        </w:tc>
        <w:tc>
          <w:tcPr>
            <w:tcW w:w="2016" w:type="dxa"/>
          </w:tcPr>
          <w:p w14:paraId="71FE3FDB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56.0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4.4</w:t>
            </w:r>
          </w:p>
        </w:tc>
        <w:tc>
          <w:tcPr>
            <w:tcW w:w="2016" w:type="dxa"/>
          </w:tcPr>
          <w:p w14:paraId="41E4AE18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37.9</w:t>
            </w:r>
          </w:p>
        </w:tc>
      </w:tr>
      <w:tr w:rsidR="00FD7848" w14:paraId="088477D7" w14:textId="77777777" w:rsidTr="006968A4">
        <w:tc>
          <w:tcPr>
            <w:tcW w:w="2070" w:type="dxa"/>
            <w:vAlign w:val="bottom"/>
          </w:tcPr>
          <w:p w14:paraId="41E26074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Chin</w:t>
            </w:r>
          </w:p>
        </w:tc>
        <w:tc>
          <w:tcPr>
            <w:tcW w:w="2159" w:type="dxa"/>
          </w:tcPr>
          <w:p w14:paraId="249B0D4C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93.3</w:t>
            </w:r>
          </w:p>
        </w:tc>
        <w:tc>
          <w:tcPr>
            <w:tcW w:w="2016" w:type="dxa"/>
          </w:tcPr>
          <w:p w14:paraId="6B59D733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56.2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3.9</w:t>
            </w:r>
          </w:p>
        </w:tc>
        <w:tc>
          <w:tcPr>
            <w:tcW w:w="2016" w:type="dxa"/>
          </w:tcPr>
          <w:p w14:paraId="70A1C160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37.1</w:t>
            </w:r>
          </w:p>
        </w:tc>
      </w:tr>
      <w:tr w:rsidR="00FD7848" w14:paraId="1A5D4F2F" w14:textId="77777777" w:rsidTr="006968A4">
        <w:tc>
          <w:tcPr>
            <w:tcW w:w="2070" w:type="dxa"/>
            <w:vAlign w:val="bottom"/>
          </w:tcPr>
          <w:p w14:paraId="5CF61F3D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Kachin</w:t>
            </w:r>
          </w:p>
        </w:tc>
        <w:tc>
          <w:tcPr>
            <w:tcW w:w="2159" w:type="dxa"/>
          </w:tcPr>
          <w:p w14:paraId="69194079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93.2</w:t>
            </w:r>
          </w:p>
        </w:tc>
        <w:tc>
          <w:tcPr>
            <w:tcW w:w="2016" w:type="dxa"/>
          </w:tcPr>
          <w:p w14:paraId="08CB4F95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54.6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4.0</w:t>
            </w:r>
          </w:p>
        </w:tc>
        <w:tc>
          <w:tcPr>
            <w:tcW w:w="2016" w:type="dxa"/>
          </w:tcPr>
          <w:p w14:paraId="7AB8B0A3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38.6</w:t>
            </w:r>
          </w:p>
        </w:tc>
      </w:tr>
      <w:tr w:rsidR="00FD7848" w14:paraId="4ADB3435" w14:textId="77777777" w:rsidTr="006968A4">
        <w:tc>
          <w:tcPr>
            <w:tcW w:w="2070" w:type="dxa"/>
            <w:vAlign w:val="bottom"/>
          </w:tcPr>
          <w:p w14:paraId="08B37C32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Kayah</w:t>
            </w:r>
            <w:proofErr w:type="spellEnd"/>
          </w:p>
        </w:tc>
        <w:tc>
          <w:tcPr>
            <w:tcW w:w="2159" w:type="dxa"/>
          </w:tcPr>
          <w:p w14:paraId="68B02D87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88.4</w:t>
            </w:r>
          </w:p>
        </w:tc>
        <w:tc>
          <w:tcPr>
            <w:tcW w:w="2016" w:type="dxa"/>
          </w:tcPr>
          <w:p w14:paraId="49CF8A0E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71.1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4.1</w:t>
            </w:r>
          </w:p>
        </w:tc>
        <w:tc>
          <w:tcPr>
            <w:tcW w:w="2016" w:type="dxa"/>
          </w:tcPr>
          <w:p w14:paraId="39F01826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</w:t>
            </w:r>
          </w:p>
        </w:tc>
      </w:tr>
      <w:tr w:rsidR="00FD7848" w14:paraId="4CE8A9D9" w14:textId="77777777" w:rsidTr="006968A4">
        <w:tc>
          <w:tcPr>
            <w:tcW w:w="2070" w:type="dxa"/>
            <w:vAlign w:val="bottom"/>
          </w:tcPr>
          <w:p w14:paraId="566EBD41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Kayin</w:t>
            </w:r>
          </w:p>
        </w:tc>
        <w:tc>
          <w:tcPr>
            <w:tcW w:w="2159" w:type="dxa"/>
          </w:tcPr>
          <w:p w14:paraId="715F44F2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94.9</w:t>
            </w:r>
          </w:p>
        </w:tc>
        <w:tc>
          <w:tcPr>
            <w:tcW w:w="2016" w:type="dxa"/>
          </w:tcPr>
          <w:p w14:paraId="6EE4EC0D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54.7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3.7</w:t>
            </w:r>
          </w:p>
        </w:tc>
        <w:tc>
          <w:tcPr>
            <w:tcW w:w="2016" w:type="dxa"/>
          </w:tcPr>
          <w:p w14:paraId="5F409D8A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40.2</w:t>
            </w:r>
          </w:p>
        </w:tc>
      </w:tr>
      <w:tr w:rsidR="00FD7848" w14:paraId="01FDCC8B" w14:textId="77777777" w:rsidTr="006968A4">
        <w:tc>
          <w:tcPr>
            <w:tcW w:w="2070" w:type="dxa"/>
            <w:vAlign w:val="bottom"/>
          </w:tcPr>
          <w:p w14:paraId="14C8C732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Magway</w:t>
            </w:r>
          </w:p>
        </w:tc>
        <w:tc>
          <w:tcPr>
            <w:tcW w:w="2159" w:type="dxa"/>
          </w:tcPr>
          <w:p w14:paraId="758E8913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95.9</w:t>
            </w:r>
          </w:p>
        </w:tc>
        <w:tc>
          <w:tcPr>
            <w:tcW w:w="2016" w:type="dxa"/>
          </w:tcPr>
          <w:p w14:paraId="782D9BC7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54.2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5.1</w:t>
            </w:r>
          </w:p>
        </w:tc>
        <w:tc>
          <w:tcPr>
            <w:tcW w:w="2016" w:type="dxa"/>
          </w:tcPr>
          <w:p w14:paraId="08BE277E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41.7</w:t>
            </w:r>
          </w:p>
        </w:tc>
      </w:tr>
      <w:tr w:rsidR="00FD7848" w14:paraId="114C5497" w14:textId="77777777" w:rsidTr="006968A4">
        <w:tc>
          <w:tcPr>
            <w:tcW w:w="2070" w:type="dxa"/>
            <w:vAlign w:val="bottom"/>
          </w:tcPr>
          <w:p w14:paraId="009C93B7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Mandalay</w:t>
            </w:r>
          </w:p>
        </w:tc>
        <w:tc>
          <w:tcPr>
            <w:tcW w:w="2159" w:type="dxa"/>
          </w:tcPr>
          <w:p w14:paraId="11DB9533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94.9</w:t>
            </w:r>
          </w:p>
        </w:tc>
        <w:tc>
          <w:tcPr>
            <w:tcW w:w="2016" w:type="dxa"/>
          </w:tcPr>
          <w:p w14:paraId="2FF7751A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45.2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4.4</w:t>
            </w:r>
          </w:p>
        </w:tc>
        <w:tc>
          <w:tcPr>
            <w:tcW w:w="2016" w:type="dxa"/>
          </w:tcPr>
          <w:p w14:paraId="43543A45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49.7</w:t>
            </w:r>
          </w:p>
        </w:tc>
      </w:tr>
      <w:tr w:rsidR="00FD7848" w14:paraId="020DF3B6" w14:textId="77777777" w:rsidTr="006968A4">
        <w:tc>
          <w:tcPr>
            <w:tcW w:w="2070" w:type="dxa"/>
            <w:vAlign w:val="bottom"/>
          </w:tcPr>
          <w:p w14:paraId="3855F16F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159" w:type="dxa"/>
          </w:tcPr>
          <w:p w14:paraId="541BFB3A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96.0</w:t>
            </w:r>
          </w:p>
        </w:tc>
        <w:tc>
          <w:tcPr>
            <w:tcW w:w="2016" w:type="dxa"/>
          </w:tcPr>
          <w:p w14:paraId="5081B9FC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69.7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4.2</w:t>
            </w:r>
          </w:p>
        </w:tc>
        <w:tc>
          <w:tcPr>
            <w:tcW w:w="2016" w:type="dxa"/>
          </w:tcPr>
          <w:p w14:paraId="1BC8D131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26.3</w:t>
            </w:r>
          </w:p>
        </w:tc>
      </w:tr>
      <w:tr w:rsidR="00FD7848" w14:paraId="3A3A67EB" w14:textId="77777777" w:rsidTr="006968A4">
        <w:tc>
          <w:tcPr>
            <w:tcW w:w="2070" w:type="dxa"/>
            <w:vAlign w:val="bottom"/>
          </w:tcPr>
          <w:p w14:paraId="6C4B355A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Rakhine</w:t>
            </w:r>
          </w:p>
        </w:tc>
        <w:tc>
          <w:tcPr>
            <w:tcW w:w="2159" w:type="dxa"/>
          </w:tcPr>
          <w:p w14:paraId="1C4AAC4B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89.1</w:t>
            </w:r>
          </w:p>
        </w:tc>
        <w:tc>
          <w:tcPr>
            <w:tcW w:w="2016" w:type="dxa"/>
          </w:tcPr>
          <w:p w14:paraId="77C087B1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59.8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4.6</w:t>
            </w:r>
          </w:p>
        </w:tc>
        <w:tc>
          <w:tcPr>
            <w:tcW w:w="2016" w:type="dxa"/>
          </w:tcPr>
          <w:p w14:paraId="30229853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29.3</w:t>
            </w:r>
          </w:p>
        </w:tc>
      </w:tr>
      <w:tr w:rsidR="00FD7848" w14:paraId="18E44B9B" w14:textId="77777777" w:rsidTr="006968A4">
        <w:tc>
          <w:tcPr>
            <w:tcW w:w="2070" w:type="dxa"/>
            <w:vAlign w:val="bottom"/>
          </w:tcPr>
          <w:p w14:paraId="6DB16BF3" w14:textId="77777777" w:rsidR="00FD7848" w:rsidRPr="00C331A7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Sagaing</w:t>
            </w:r>
            <w:proofErr w:type="spellEnd"/>
          </w:p>
        </w:tc>
        <w:tc>
          <w:tcPr>
            <w:tcW w:w="2159" w:type="dxa"/>
          </w:tcPr>
          <w:p w14:paraId="4A87315A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92.0</w:t>
            </w:r>
          </w:p>
        </w:tc>
        <w:tc>
          <w:tcPr>
            <w:tcW w:w="2016" w:type="dxa"/>
          </w:tcPr>
          <w:p w14:paraId="3F7D2F13" w14:textId="77777777" w:rsidR="00FD7848" w:rsidRPr="001A5CAF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29.8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4.6</w:t>
            </w:r>
          </w:p>
        </w:tc>
        <w:tc>
          <w:tcPr>
            <w:tcW w:w="2016" w:type="dxa"/>
          </w:tcPr>
          <w:p w14:paraId="4083BC87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62.2</w:t>
            </w:r>
          </w:p>
        </w:tc>
      </w:tr>
      <w:tr w:rsidR="00FD7848" w14:paraId="0A1964CE" w14:textId="77777777" w:rsidTr="006968A4">
        <w:tc>
          <w:tcPr>
            <w:tcW w:w="2070" w:type="dxa"/>
            <w:vAlign w:val="bottom"/>
          </w:tcPr>
          <w:p w14:paraId="09353481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Shan</w:t>
            </w:r>
          </w:p>
        </w:tc>
        <w:tc>
          <w:tcPr>
            <w:tcW w:w="2159" w:type="dxa"/>
          </w:tcPr>
          <w:p w14:paraId="592BFF5F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95.2</w:t>
            </w:r>
          </w:p>
        </w:tc>
        <w:tc>
          <w:tcPr>
            <w:tcW w:w="2016" w:type="dxa"/>
          </w:tcPr>
          <w:p w14:paraId="07F0B66F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36.0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3.8</w:t>
            </w:r>
          </w:p>
        </w:tc>
        <w:tc>
          <w:tcPr>
            <w:tcW w:w="2016" w:type="dxa"/>
          </w:tcPr>
          <w:p w14:paraId="38936869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59.2</w:t>
            </w:r>
          </w:p>
        </w:tc>
      </w:tr>
      <w:tr w:rsidR="00FD7848" w14:paraId="717ECFC9" w14:textId="77777777" w:rsidTr="006968A4">
        <w:tc>
          <w:tcPr>
            <w:tcW w:w="2070" w:type="dxa"/>
            <w:vAlign w:val="bottom"/>
          </w:tcPr>
          <w:p w14:paraId="0B3CF274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Taninthayi</w:t>
            </w:r>
            <w:proofErr w:type="spellEnd"/>
          </w:p>
        </w:tc>
        <w:tc>
          <w:tcPr>
            <w:tcW w:w="2159" w:type="dxa"/>
          </w:tcPr>
          <w:p w14:paraId="3C2E07C9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94.1</w:t>
            </w:r>
          </w:p>
        </w:tc>
        <w:tc>
          <w:tcPr>
            <w:tcW w:w="2016" w:type="dxa"/>
          </w:tcPr>
          <w:p w14:paraId="4CED73F9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55.4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4.5</w:t>
            </w:r>
          </w:p>
        </w:tc>
        <w:tc>
          <w:tcPr>
            <w:tcW w:w="2016" w:type="dxa"/>
          </w:tcPr>
          <w:p w14:paraId="4C86FC03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38.7</w:t>
            </w:r>
          </w:p>
        </w:tc>
      </w:tr>
      <w:tr w:rsidR="00FD7848" w14:paraId="7621AEC0" w14:textId="77777777" w:rsidTr="006968A4">
        <w:tc>
          <w:tcPr>
            <w:tcW w:w="2070" w:type="dxa"/>
            <w:tcBorders>
              <w:bottom w:val="single" w:sz="4" w:space="0" w:color="auto"/>
            </w:tcBorders>
          </w:tcPr>
          <w:p w14:paraId="28F643EA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Yangon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A981F15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8ED2F84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35.1 </w:t>
            </w:r>
            <w:r w:rsidRPr="00C82A0C">
              <w:rPr>
                <w:rFonts w:ascii="Times New Roman" w:hAnsi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E4487FD" w14:textId="77777777" w:rsidR="00FD7848" w:rsidRDefault="00FD7848" w:rsidP="006968A4">
            <w:pPr>
              <w:pStyle w:val="NoteLevel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59.1</w:t>
            </w:r>
          </w:p>
        </w:tc>
      </w:tr>
    </w:tbl>
    <w:p w14:paraId="053A04A6" w14:textId="77777777" w:rsidR="00FD7848" w:rsidRPr="00B32C3D" w:rsidRDefault="00FD7848" w:rsidP="00FD7848">
      <w:pPr>
        <w:rPr>
          <w:rFonts w:ascii="Times New Roman" w:hAnsi="Times New Roman" w:cs="Times New Roman"/>
          <w:bCs/>
          <w:sz w:val="20"/>
          <w:szCs w:val="20"/>
        </w:rPr>
      </w:pPr>
      <w:r w:rsidRPr="00B32C3D">
        <w:rPr>
          <w:rFonts w:ascii="Times New Roman" w:hAnsi="Times New Roman" w:cs="Times New Roman"/>
          <w:bCs/>
          <w:sz w:val="20"/>
          <w:szCs w:val="20"/>
        </w:rPr>
        <w:t xml:space="preserve">Difference in coverage reported as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Coverage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WHO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Times New Roman"/>
                <w:bCs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Coverage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DHS</m:t>
            </m:r>
          </m:sub>
        </m:sSub>
      </m:oMath>
      <w:r w:rsidRPr="00B32C3D">
        <w:rPr>
          <w:rFonts w:ascii="Times New Roman" w:hAnsi="Times New Roman" w:cs="Times New Roman"/>
          <w:bCs/>
          <w:iCs/>
          <w:sz w:val="20"/>
          <w:szCs w:val="20"/>
        </w:rPr>
        <w:t>, (-) indicates coverage estimated by DHS greater than reported to WHO.</w:t>
      </w:r>
    </w:p>
    <w:p w14:paraId="1DD10263" w14:textId="77777777" w:rsidR="00FD7848" w:rsidRPr="00B32C3D" w:rsidRDefault="00FD7848" w:rsidP="00FD7848">
      <w:pPr>
        <w:rPr>
          <w:rFonts w:ascii="Times New Roman" w:hAnsi="Times New Roman" w:cs="Times New Roman"/>
          <w:sz w:val="20"/>
          <w:szCs w:val="20"/>
        </w:rPr>
      </w:pPr>
      <w:r w:rsidRPr="00B32C3D">
        <w:rPr>
          <w:rFonts w:ascii="Times New Roman" w:hAnsi="Times New Roman" w:cs="Times New Roman"/>
          <w:bCs/>
          <w:sz w:val="20"/>
          <w:szCs w:val="20"/>
        </w:rPr>
        <w:t>SE, standard error</w:t>
      </w:r>
    </w:p>
    <w:p w14:paraId="23C56CE4" w14:textId="4D874BF1" w:rsidR="000A002E" w:rsidRDefault="000A002E" w:rsidP="00FD7848"/>
    <w:sectPr w:rsidR="000A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B0544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48"/>
    <w:rsid w:val="000A002E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6F5A"/>
  <w15:chartTrackingRefBased/>
  <w15:docId w15:val="{585EBF6D-A875-4927-BCBE-4A6F7E74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FD784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FD784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FD784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FD784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FD784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FD784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FD784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FD784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FD784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2020-08-04T17:44:00Z</dcterms:created>
  <dcterms:modified xsi:type="dcterms:W3CDTF">2020-08-04T17:44:00Z</dcterms:modified>
</cp:coreProperties>
</file>