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40203" w14:textId="2DE96936" w:rsidR="00B35521" w:rsidRDefault="009F787A" w:rsidP="00B35521">
      <w:pPr>
        <w:pStyle w:val="NoteLevel1"/>
        <w:rPr>
          <w:rFonts w:ascii="Times New Roman" w:hAnsi="Times New Roman" w:cs="Times New Roman"/>
          <w:b/>
          <w:sz w:val="28"/>
          <w:szCs w:val="28"/>
        </w:rPr>
      </w:pPr>
      <w:r>
        <w:rPr>
          <w:rFonts w:ascii="Times New Roman" w:hAnsi="Times New Roman" w:cs="Times New Roman"/>
          <w:b/>
          <w:sz w:val="28"/>
          <w:szCs w:val="28"/>
        </w:rPr>
        <w:t xml:space="preserve">S1 </w:t>
      </w:r>
      <w:r w:rsidR="00B35521" w:rsidRPr="00B35521">
        <w:rPr>
          <w:rFonts w:ascii="Times New Roman" w:hAnsi="Times New Roman" w:cs="Times New Roman"/>
          <w:b/>
          <w:sz w:val="28"/>
          <w:szCs w:val="28"/>
        </w:rPr>
        <w:t>Technical appendix</w:t>
      </w:r>
    </w:p>
    <w:p w14:paraId="6E75F662" w14:textId="77777777" w:rsidR="009F787A" w:rsidRPr="00B35521" w:rsidRDefault="009F787A" w:rsidP="00B35521">
      <w:pPr>
        <w:pStyle w:val="NoteLevel1"/>
        <w:rPr>
          <w:rFonts w:ascii="Times New Roman" w:hAnsi="Times New Roman" w:cs="Times New Roman"/>
          <w:b/>
          <w:sz w:val="28"/>
          <w:szCs w:val="28"/>
        </w:rPr>
      </w:pPr>
    </w:p>
    <w:p w14:paraId="7523A0B7" w14:textId="4EE9D78A" w:rsidR="009E30F0" w:rsidRPr="00490B71" w:rsidRDefault="00101A90" w:rsidP="00490B71">
      <w:pPr>
        <w:pStyle w:val="NoteLevel1"/>
        <w:numPr>
          <w:ilvl w:val="0"/>
          <w:numId w:val="0"/>
        </w:numPr>
        <w:rPr>
          <w:rFonts w:ascii="Times New Roman" w:hAnsi="Times New Roman" w:cs="Times New Roman"/>
        </w:rPr>
      </w:pPr>
      <w:r w:rsidRPr="008A2C01">
        <w:rPr>
          <w:rFonts w:ascii="Times New Roman" w:hAnsi="Times New Roman" w:cs="Times New Roman"/>
        </w:rPr>
        <w:t xml:space="preserve">In this supplement, we provide additional </w:t>
      </w:r>
      <w:r w:rsidR="00C82A0C">
        <w:rPr>
          <w:rFonts w:ascii="Times New Roman" w:hAnsi="Times New Roman" w:cs="Times New Roman"/>
        </w:rPr>
        <w:t xml:space="preserve">methodologic </w:t>
      </w:r>
      <w:r w:rsidRPr="008A2C01">
        <w:rPr>
          <w:rFonts w:ascii="Times New Roman" w:hAnsi="Times New Roman" w:cs="Times New Roman"/>
        </w:rPr>
        <w:t xml:space="preserve">details </w:t>
      </w:r>
      <w:r w:rsidR="00DE519C">
        <w:rPr>
          <w:rFonts w:ascii="Times New Roman" w:hAnsi="Times New Roman" w:cs="Times New Roman"/>
        </w:rPr>
        <w:t>for estimating</w:t>
      </w:r>
      <w:r w:rsidR="00C82A0C">
        <w:rPr>
          <w:rFonts w:ascii="Times New Roman" w:hAnsi="Times New Roman" w:cs="Times New Roman"/>
        </w:rPr>
        <w:t xml:space="preserve"> deworming coverage from </w:t>
      </w:r>
      <w:r w:rsidR="00BD411E">
        <w:rPr>
          <w:rFonts w:ascii="Times New Roman" w:hAnsi="Times New Roman" w:cs="Times New Roman"/>
        </w:rPr>
        <w:t xml:space="preserve">data reported to </w:t>
      </w:r>
      <w:r w:rsidR="004A7C17">
        <w:rPr>
          <w:rFonts w:ascii="Times New Roman" w:hAnsi="Times New Roman" w:cs="Times New Roman"/>
        </w:rPr>
        <w:t>t</w:t>
      </w:r>
      <w:r w:rsidR="00A2102F">
        <w:rPr>
          <w:rFonts w:ascii="Times New Roman" w:hAnsi="Times New Roman" w:cs="Times New Roman"/>
        </w:rPr>
        <w:t xml:space="preserve">he </w:t>
      </w:r>
      <w:r w:rsidR="00C82A0C">
        <w:rPr>
          <w:rFonts w:ascii="Times New Roman" w:hAnsi="Times New Roman" w:cs="Times New Roman"/>
        </w:rPr>
        <w:t xml:space="preserve">World Health Organization </w:t>
      </w:r>
      <w:r w:rsidR="0024711D">
        <w:rPr>
          <w:rFonts w:ascii="Times New Roman" w:hAnsi="Times New Roman" w:cs="Times New Roman"/>
        </w:rPr>
        <w:t xml:space="preserve">(WHO) </w:t>
      </w:r>
      <w:r w:rsidR="00C82A0C">
        <w:rPr>
          <w:rFonts w:ascii="Times New Roman" w:hAnsi="Times New Roman" w:cs="Times New Roman"/>
        </w:rPr>
        <w:t>and</w:t>
      </w:r>
      <w:r w:rsidR="0024711D">
        <w:rPr>
          <w:rFonts w:ascii="Times New Roman" w:hAnsi="Times New Roman" w:cs="Times New Roman"/>
        </w:rPr>
        <w:t xml:space="preserve"> </w:t>
      </w:r>
      <w:r w:rsidR="00DE519C">
        <w:rPr>
          <w:rFonts w:ascii="Times New Roman" w:hAnsi="Times New Roman" w:cs="Times New Roman"/>
        </w:rPr>
        <w:t xml:space="preserve">by </w:t>
      </w:r>
      <w:r w:rsidR="0024711D">
        <w:rPr>
          <w:rFonts w:ascii="Times New Roman" w:hAnsi="Times New Roman" w:cs="Times New Roman"/>
        </w:rPr>
        <w:t>using</w:t>
      </w:r>
      <w:r w:rsidR="00C82A0C">
        <w:rPr>
          <w:rFonts w:ascii="Times New Roman" w:hAnsi="Times New Roman" w:cs="Times New Roman"/>
        </w:rPr>
        <w:t xml:space="preserve"> </w:t>
      </w:r>
      <w:r w:rsidR="00BD411E">
        <w:rPr>
          <w:rFonts w:ascii="Times New Roman" w:hAnsi="Times New Roman" w:cs="Times New Roman"/>
        </w:rPr>
        <w:t xml:space="preserve">the </w:t>
      </w:r>
      <w:r w:rsidR="00C82A0C">
        <w:rPr>
          <w:rFonts w:ascii="Times New Roman" w:hAnsi="Times New Roman" w:cs="Times New Roman"/>
        </w:rPr>
        <w:t>Demographic and Health Survey</w:t>
      </w:r>
      <w:r w:rsidR="0024711D">
        <w:rPr>
          <w:rFonts w:ascii="Times New Roman" w:hAnsi="Times New Roman" w:cs="Times New Roman"/>
        </w:rPr>
        <w:t>s</w:t>
      </w:r>
      <w:r w:rsidR="00F40555">
        <w:rPr>
          <w:rFonts w:ascii="Times New Roman" w:hAnsi="Times New Roman" w:cs="Times New Roman"/>
        </w:rPr>
        <w:t xml:space="preserve"> </w:t>
      </w:r>
      <w:r w:rsidR="0024711D">
        <w:rPr>
          <w:rFonts w:ascii="Times New Roman" w:hAnsi="Times New Roman" w:cs="Times New Roman"/>
        </w:rPr>
        <w:t>(DHS)</w:t>
      </w:r>
      <w:r w:rsidR="00F40555">
        <w:rPr>
          <w:rFonts w:ascii="Times New Roman" w:hAnsi="Times New Roman" w:cs="Times New Roman"/>
        </w:rPr>
        <w:t xml:space="preserve"> data</w:t>
      </w:r>
      <w:r w:rsidR="00C82A0C">
        <w:rPr>
          <w:rFonts w:ascii="Times New Roman" w:hAnsi="Times New Roman" w:cs="Times New Roman"/>
        </w:rPr>
        <w:t>.</w:t>
      </w:r>
    </w:p>
    <w:p w14:paraId="16F5AEA4" w14:textId="77777777" w:rsidR="00490B71" w:rsidRDefault="00490B71" w:rsidP="00490B71">
      <w:pPr>
        <w:rPr>
          <w:rFonts w:ascii="Times New Roman" w:hAnsi="Times New Roman" w:cs="Times New Roman"/>
          <w:i/>
          <w:u w:val="single"/>
        </w:rPr>
      </w:pPr>
    </w:p>
    <w:p w14:paraId="65EBBA9D" w14:textId="7A042B9B" w:rsidR="00B023C1" w:rsidRDefault="00AF1EE2" w:rsidP="00DE519C">
      <w:r>
        <w:rPr>
          <w:rFonts w:ascii="Times New Roman" w:hAnsi="Times New Roman" w:cs="Times New Roman"/>
          <w:i/>
          <w:u w:val="single"/>
        </w:rPr>
        <w:t xml:space="preserve">Deworming estimates using data reported to </w:t>
      </w:r>
      <w:r w:rsidR="00885AC5">
        <w:rPr>
          <w:rFonts w:ascii="Times New Roman" w:hAnsi="Times New Roman" w:cs="Times New Roman"/>
          <w:i/>
          <w:u w:val="single"/>
        </w:rPr>
        <w:t>WHO</w:t>
      </w:r>
    </w:p>
    <w:p w14:paraId="3EF20841" w14:textId="4914D3AC" w:rsidR="00AF1EE2" w:rsidRDefault="00490B71" w:rsidP="00490B71">
      <w:pPr>
        <w:pStyle w:val="NoteLevel1"/>
        <w:numPr>
          <w:ilvl w:val="0"/>
          <w:numId w:val="0"/>
        </w:numPr>
        <w:rPr>
          <w:rFonts w:ascii="Times New Roman" w:hAnsi="Times New Roman" w:cs="Times New Roman"/>
        </w:rPr>
      </w:pPr>
      <w:r>
        <w:rPr>
          <w:rFonts w:ascii="Times New Roman" w:hAnsi="Times New Roman" w:cs="Times New Roman"/>
        </w:rPr>
        <w:t xml:space="preserve">We utilized deworming campaign coverage data reported to </w:t>
      </w:r>
      <w:r w:rsidR="00885AC5">
        <w:rPr>
          <w:rFonts w:ascii="Times New Roman" w:hAnsi="Times New Roman" w:cs="Times New Roman"/>
        </w:rPr>
        <w:t>WHO</w:t>
      </w:r>
      <w:r>
        <w:rPr>
          <w:rFonts w:ascii="Times New Roman" w:hAnsi="Times New Roman" w:cs="Times New Roman"/>
        </w:rPr>
        <w:t xml:space="preserve"> by each country’s Ministry of Health. We estimate</w:t>
      </w:r>
      <w:r w:rsidR="00BD411E">
        <w:rPr>
          <w:rFonts w:ascii="Times New Roman" w:hAnsi="Times New Roman" w:cs="Times New Roman"/>
        </w:rPr>
        <w:t>d</w:t>
      </w:r>
      <w:r>
        <w:rPr>
          <w:rFonts w:ascii="Times New Roman" w:hAnsi="Times New Roman" w:cs="Times New Roman"/>
        </w:rPr>
        <w:t xml:space="preserve"> coverage </w:t>
      </w:r>
      <w:r w:rsidR="005F7B28">
        <w:rPr>
          <w:rFonts w:ascii="Times New Roman" w:hAnsi="Times New Roman" w:cs="Times New Roman"/>
        </w:rPr>
        <w:t>using WHO data on the proportion of total deworming medications</w:t>
      </w:r>
      <w:r w:rsidR="00DE6EF1">
        <w:rPr>
          <w:rFonts w:ascii="Times New Roman" w:hAnsi="Times New Roman" w:cs="Times New Roman"/>
        </w:rPr>
        <w:t xml:space="preserve"> for each treatment campaign</w:t>
      </w:r>
      <w:r w:rsidR="005F7B28">
        <w:rPr>
          <w:rFonts w:ascii="Times New Roman" w:hAnsi="Times New Roman" w:cs="Times New Roman"/>
        </w:rPr>
        <w:t xml:space="preserve"> </w:t>
      </w:r>
      <w:r w:rsidR="00DE6EF1">
        <w:rPr>
          <w:rFonts w:ascii="Times New Roman" w:hAnsi="Times New Roman" w:cs="Times New Roman"/>
        </w:rPr>
        <w:t>and</w:t>
      </w:r>
      <w:r w:rsidR="005F7B28">
        <w:rPr>
          <w:rFonts w:ascii="Times New Roman" w:hAnsi="Times New Roman" w:cs="Times New Roman"/>
        </w:rPr>
        <w:t xml:space="preserve"> the number of pre-school aged children </w:t>
      </w:r>
      <w:r w:rsidR="00DE6EF1">
        <w:rPr>
          <w:rFonts w:ascii="Times New Roman" w:hAnsi="Times New Roman" w:cs="Times New Roman"/>
        </w:rPr>
        <w:t>in each DHS survey</w:t>
      </w:r>
      <w:r w:rsidR="005F7B28">
        <w:rPr>
          <w:rFonts w:ascii="Times New Roman" w:hAnsi="Times New Roman" w:cs="Times New Roman"/>
        </w:rPr>
        <w:t xml:space="preserve">. </w:t>
      </w:r>
      <w:r>
        <w:rPr>
          <w:rFonts w:ascii="Times New Roman" w:hAnsi="Times New Roman" w:cs="Times New Roman"/>
        </w:rPr>
        <w:t xml:space="preserve">In </w:t>
      </w:r>
      <w:r w:rsidR="00BD411E">
        <w:rPr>
          <w:rFonts w:ascii="Times New Roman" w:hAnsi="Times New Roman" w:cs="Times New Roman"/>
        </w:rPr>
        <w:t>district</w:t>
      </w:r>
      <w:r>
        <w:rPr>
          <w:rFonts w:ascii="Times New Roman" w:hAnsi="Times New Roman" w:cs="Times New Roman"/>
        </w:rPr>
        <w:t>s with biannual deworming campaigns,</w:t>
      </w:r>
      <w:r w:rsidR="00F40555">
        <w:rPr>
          <w:rFonts w:ascii="Times New Roman" w:hAnsi="Times New Roman" w:cs="Times New Roman"/>
        </w:rPr>
        <w:t xml:space="preserve"> where both campaigns met inclusion criteria,</w:t>
      </w:r>
      <w:r>
        <w:rPr>
          <w:rFonts w:ascii="Times New Roman" w:hAnsi="Times New Roman" w:cs="Times New Roman"/>
        </w:rPr>
        <w:t xml:space="preserve"> we </w:t>
      </w:r>
      <w:r w:rsidR="00DE6EF1">
        <w:rPr>
          <w:rFonts w:ascii="Times New Roman" w:hAnsi="Times New Roman" w:cs="Times New Roman"/>
        </w:rPr>
        <w:t>estimated</w:t>
      </w:r>
      <w:r>
        <w:rPr>
          <w:rFonts w:ascii="Times New Roman" w:hAnsi="Times New Roman" w:cs="Times New Roman"/>
        </w:rPr>
        <w:t xml:space="preserve"> a </w:t>
      </w:r>
      <w:r w:rsidR="00DE6EF1">
        <w:rPr>
          <w:rFonts w:ascii="Times New Roman" w:hAnsi="Times New Roman" w:cs="Times New Roman"/>
        </w:rPr>
        <w:t>single</w:t>
      </w:r>
      <w:r>
        <w:rPr>
          <w:rFonts w:ascii="Times New Roman" w:hAnsi="Times New Roman" w:cs="Times New Roman"/>
        </w:rPr>
        <w:t xml:space="preserve"> </w:t>
      </w:r>
      <w:r w:rsidR="00174AC2">
        <w:rPr>
          <w:rFonts w:ascii="Times New Roman" w:hAnsi="Times New Roman" w:cs="Times New Roman"/>
        </w:rPr>
        <w:t xml:space="preserve">treatment probability </w:t>
      </w:r>
      <w:r w:rsidR="00DE6EF1">
        <w:rPr>
          <w:rFonts w:ascii="Times New Roman" w:hAnsi="Times New Roman" w:cs="Times New Roman"/>
        </w:rPr>
        <w:t xml:space="preserve">(coverage) </w:t>
      </w:r>
      <w:r w:rsidR="00DE519C">
        <w:rPr>
          <w:rFonts w:ascii="Times New Roman" w:hAnsi="Times New Roman" w:cs="Times New Roman"/>
        </w:rPr>
        <w:t xml:space="preserve">for pre-school aged children </w:t>
      </w:r>
      <w:r w:rsidR="00072515">
        <w:rPr>
          <w:rFonts w:ascii="Times New Roman" w:hAnsi="Times New Roman" w:cs="Times New Roman"/>
        </w:rPr>
        <w:t xml:space="preserve">per </w:t>
      </w:r>
      <w:r w:rsidR="00BD411E">
        <w:rPr>
          <w:rFonts w:ascii="Times New Roman" w:hAnsi="Times New Roman" w:cs="Times New Roman"/>
        </w:rPr>
        <w:t>district</w:t>
      </w:r>
      <w:r>
        <w:rPr>
          <w:rFonts w:ascii="Times New Roman" w:hAnsi="Times New Roman" w:cs="Times New Roman"/>
        </w:rPr>
        <w:t xml:space="preserve"> </w:t>
      </w:r>
      <w:r w:rsidR="001234B4">
        <w:rPr>
          <w:rFonts w:ascii="Times New Roman" w:hAnsi="Times New Roman" w:cs="Times New Roman"/>
        </w:rPr>
        <w:t>as a function of</w:t>
      </w:r>
      <w:r w:rsidR="00BD411E">
        <w:rPr>
          <w:rFonts w:ascii="Times New Roman" w:hAnsi="Times New Roman" w:cs="Times New Roman"/>
        </w:rPr>
        <w:t xml:space="preserve"> coverage estimates from </w:t>
      </w:r>
      <w:r w:rsidR="001234B4">
        <w:rPr>
          <w:rFonts w:ascii="Times New Roman" w:hAnsi="Times New Roman" w:cs="Times New Roman"/>
        </w:rPr>
        <w:t xml:space="preserve">both </w:t>
      </w:r>
      <w:r w:rsidR="00174AC2">
        <w:rPr>
          <w:rFonts w:ascii="Times New Roman" w:hAnsi="Times New Roman" w:cs="Times New Roman"/>
        </w:rPr>
        <w:t xml:space="preserve">overlapping </w:t>
      </w:r>
      <w:r w:rsidR="00BD411E">
        <w:rPr>
          <w:rFonts w:ascii="Times New Roman" w:hAnsi="Times New Roman" w:cs="Times New Roman"/>
        </w:rPr>
        <w:t>campaign</w:t>
      </w:r>
      <w:r w:rsidR="00DE519C">
        <w:rPr>
          <w:rFonts w:ascii="Times New Roman" w:hAnsi="Times New Roman" w:cs="Times New Roman"/>
        </w:rPr>
        <w:t>s</w:t>
      </w:r>
      <w:r w:rsidR="001234B4">
        <w:rPr>
          <w:rFonts w:ascii="Times New Roman" w:hAnsi="Times New Roman" w:cs="Times New Roman"/>
        </w:rPr>
        <w:t xml:space="preserve"> reported to WHO</w:t>
      </w:r>
      <w:r>
        <w:rPr>
          <w:rFonts w:ascii="Times New Roman" w:hAnsi="Times New Roman" w:cs="Times New Roman"/>
        </w:rPr>
        <w:t xml:space="preserve">. Any deworming campaigns </w:t>
      </w:r>
      <w:r w:rsidR="003A364A">
        <w:rPr>
          <w:rFonts w:ascii="Times New Roman" w:hAnsi="Times New Roman" w:cs="Times New Roman"/>
        </w:rPr>
        <w:t xml:space="preserve">reported to WHO </w:t>
      </w:r>
      <w:r>
        <w:rPr>
          <w:rFonts w:ascii="Times New Roman" w:hAnsi="Times New Roman" w:cs="Times New Roman"/>
        </w:rPr>
        <w:t xml:space="preserve">with no corresponding DHS interviews conducted </w:t>
      </w:r>
      <w:r w:rsidR="00DE519C">
        <w:rPr>
          <w:rFonts w:ascii="Times New Roman" w:hAnsi="Times New Roman" w:cs="Times New Roman"/>
        </w:rPr>
        <w:t xml:space="preserve">within </w:t>
      </w:r>
      <w:r>
        <w:rPr>
          <w:rFonts w:ascii="Times New Roman" w:hAnsi="Times New Roman" w:cs="Times New Roman"/>
        </w:rPr>
        <w:t xml:space="preserve">the recall period </w:t>
      </w:r>
      <w:r w:rsidR="00DE519C">
        <w:rPr>
          <w:rFonts w:ascii="Times New Roman" w:hAnsi="Times New Roman" w:cs="Times New Roman"/>
        </w:rPr>
        <w:t xml:space="preserve">following campaign initiation </w:t>
      </w:r>
      <w:r>
        <w:rPr>
          <w:rFonts w:ascii="Times New Roman" w:hAnsi="Times New Roman" w:cs="Times New Roman"/>
        </w:rPr>
        <w:t xml:space="preserve">were excluded from analysis. </w:t>
      </w:r>
      <w:r w:rsidR="001234B4">
        <w:rPr>
          <w:rFonts w:ascii="Times New Roman" w:hAnsi="Times New Roman" w:cs="Times New Roman"/>
        </w:rPr>
        <w:t xml:space="preserve">In summary, one deworming coverage was estimated from WHO data per district with </w:t>
      </w:r>
      <w:r w:rsidR="00D8349B">
        <w:rPr>
          <w:rFonts w:ascii="Times New Roman" w:hAnsi="Times New Roman" w:cs="Times New Roman"/>
        </w:rPr>
        <w:t>included DHS and WHO data.</w:t>
      </w:r>
      <w:r w:rsidR="001234B4">
        <w:rPr>
          <w:rFonts w:ascii="Times New Roman" w:hAnsi="Times New Roman" w:cs="Times New Roman"/>
        </w:rPr>
        <w:t xml:space="preserve"> </w:t>
      </w:r>
      <w:r>
        <w:rPr>
          <w:rFonts w:ascii="Times New Roman" w:hAnsi="Times New Roman" w:cs="Times New Roman"/>
        </w:rPr>
        <w:t xml:space="preserve">Below we list the equations used to calculate deworming coverage per </w:t>
      </w:r>
      <w:r w:rsidR="00BD411E">
        <w:rPr>
          <w:rFonts w:ascii="Times New Roman" w:hAnsi="Times New Roman" w:cs="Times New Roman"/>
        </w:rPr>
        <w:t>district</w:t>
      </w:r>
      <w:r>
        <w:rPr>
          <w:rFonts w:ascii="Times New Roman" w:hAnsi="Times New Roman" w:cs="Times New Roman"/>
        </w:rPr>
        <w:t>.</w:t>
      </w:r>
    </w:p>
    <w:p w14:paraId="2643E2DC" w14:textId="77777777" w:rsidR="003918BA" w:rsidRPr="003A364A" w:rsidRDefault="003918BA" w:rsidP="003A364A">
      <w:pPr>
        <w:pStyle w:val="NoteLevel1"/>
        <w:rPr>
          <w:rFonts w:ascii="Times New Roman" w:hAnsi="Times New Roman" w:cs="Times New Roman"/>
        </w:rPr>
      </w:pPr>
    </w:p>
    <w:p w14:paraId="1562CBC5" w14:textId="5CFB8F21" w:rsidR="003918BA" w:rsidRPr="008A2C01" w:rsidRDefault="008A2C01" w:rsidP="008A2C01">
      <w:pPr>
        <w:pStyle w:val="NoteLevel1"/>
        <w:rPr>
          <w:rFonts w:ascii="Times New Roman" w:hAnsi="Times New Roman" w:cs="Times New Roman"/>
        </w:rPr>
      </w:pPr>
      <w:r>
        <w:rPr>
          <w:rFonts w:ascii="Times New Roman" w:hAnsi="Times New Roman" w:cs="Times New Roman"/>
        </w:rPr>
        <w:t>Equation</w:t>
      </w:r>
      <w:r w:rsidR="00EB499B">
        <w:rPr>
          <w:rFonts w:ascii="Times New Roman" w:hAnsi="Times New Roman" w:cs="Times New Roman"/>
        </w:rPr>
        <w:t>s</w:t>
      </w:r>
      <w:r>
        <w:rPr>
          <w:rFonts w:ascii="Times New Roman" w:hAnsi="Times New Roman" w:cs="Times New Roman"/>
        </w:rPr>
        <w:t xml:space="preserve"> </w:t>
      </w:r>
      <w:r w:rsidR="00DE519C">
        <w:rPr>
          <w:rFonts w:ascii="Times New Roman" w:hAnsi="Times New Roman" w:cs="Times New Roman"/>
        </w:rPr>
        <w:t>1-</w:t>
      </w:r>
      <w:r w:rsidR="002C5161">
        <w:rPr>
          <w:rFonts w:ascii="Times New Roman" w:hAnsi="Times New Roman" w:cs="Times New Roman"/>
        </w:rPr>
        <w:t>2</w:t>
      </w:r>
      <w:r w:rsidR="00EB499B">
        <w:rPr>
          <w:rFonts w:ascii="Times New Roman" w:hAnsi="Times New Roman" w:cs="Times New Roman"/>
        </w:rPr>
        <w:t xml:space="preserve"> were </w:t>
      </w:r>
      <w:r w:rsidR="00BD411E">
        <w:rPr>
          <w:rFonts w:ascii="Times New Roman" w:hAnsi="Times New Roman" w:cs="Times New Roman"/>
        </w:rPr>
        <w:t xml:space="preserve">used to </w:t>
      </w:r>
      <w:r w:rsidR="00AF1EE2">
        <w:rPr>
          <w:rFonts w:ascii="Times New Roman" w:hAnsi="Times New Roman" w:cs="Times New Roman"/>
        </w:rPr>
        <w:t xml:space="preserve">calculate </w:t>
      </w:r>
      <w:r w:rsidR="00DE519C">
        <w:rPr>
          <w:rFonts w:ascii="Times New Roman" w:hAnsi="Times New Roman" w:cs="Times New Roman"/>
        </w:rPr>
        <w:t xml:space="preserve">district-level </w:t>
      </w:r>
      <w:r w:rsidR="00AF1EE2">
        <w:rPr>
          <w:rFonts w:ascii="Times New Roman" w:hAnsi="Times New Roman" w:cs="Times New Roman"/>
        </w:rPr>
        <w:t>deworming coverage</w:t>
      </w:r>
      <w:r w:rsidR="00F6220C">
        <w:rPr>
          <w:rFonts w:ascii="Times New Roman" w:hAnsi="Times New Roman" w:cs="Times New Roman"/>
        </w:rPr>
        <w:t xml:space="preserve"> </w:t>
      </w:r>
      <w:r w:rsidR="00F6220C" w:rsidRPr="00F40555">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r</m:t>
            </m:r>
          </m:sub>
        </m:sSub>
        <m:r>
          <w:rPr>
            <w:rFonts w:ascii="Cambria Math" w:hAnsi="Cambria Math" w:cs="Times New Roman"/>
          </w:rPr>
          <m:t>)</m:t>
        </m:r>
      </m:oMath>
      <w:r w:rsidR="00AF1EE2" w:rsidRPr="00F40555">
        <w:rPr>
          <w:rFonts w:ascii="Times New Roman" w:hAnsi="Times New Roman" w:cs="Times New Roman"/>
        </w:rPr>
        <w:t xml:space="preserve"> </w:t>
      </w:r>
      <w:r w:rsidR="00DE519C">
        <w:rPr>
          <w:rFonts w:ascii="Times New Roman" w:hAnsi="Times New Roman" w:cs="Times New Roman"/>
        </w:rPr>
        <w:t xml:space="preserve">for districts with children eligible for either one </w:t>
      </w:r>
      <w:r w:rsidR="00233691">
        <w:rPr>
          <w:rFonts w:ascii="Times New Roman" w:hAnsi="Times New Roman" w:cs="Times New Roman"/>
        </w:rPr>
        <w:t>or</w:t>
      </w:r>
      <w:r w:rsidR="00DE519C">
        <w:rPr>
          <w:rFonts w:ascii="Times New Roman" w:hAnsi="Times New Roman" w:cs="Times New Roman"/>
        </w:rPr>
        <w:t xml:space="preserve"> two overlapping </w:t>
      </w:r>
      <w:r w:rsidR="00233691">
        <w:rPr>
          <w:rFonts w:ascii="Times New Roman" w:hAnsi="Times New Roman" w:cs="Times New Roman"/>
        </w:rPr>
        <w:t xml:space="preserve">deworming </w:t>
      </w:r>
      <w:r w:rsidR="00DE519C">
        <w:rPr>
          <w:rFonts w:ascii="Times New Roman" w:hAnsi="Times New Roman" w:cs="Times New Roman"/>
        </w:rPr>
        <w:t>campaigns reported to WHO</w:t>
      </w:r>
      <w:r w:rsidR="00AF1EE2">
        <w:rPr>
          <w:rFonts w:ascii="Times New Roman" w:hAnsi="Times New Roman" w:cs="Times New Roman"/>
        </w:rPr>
        <w:t>:</w:t>
      </w:r>
    </w:p>
    <w:p w14:paraId="37F42D56" w14:textId="77777777" w:rsidR="008F14DC" w:rsidRPr="008A2C01" w:rsidRDefault="008F14DC" w:rsidP="008A2C01">
      <w:pPr>
        <w:pStyle w:val="NoteLevel1"/>
        <w:rPr>
          <w:rFonts w:ascii="Times New Roman" w:hAnsi="Times New Roman" w:cs="Times New Roman"/>
        </w:rPr>
      </w:pPr>
    </w:p>
    <w:p w14:paraId="70AC4359" w14:textId="6A1A12F0" w:rsidR="00234C81" w:rsidRPr="00234C81" w:rsidRDefault="0058717F" w:rsidP="008A2C01">
      <w:pPr>
        <w:pStyle w:val="NoteLevel1"/>
        <w:rPr>
          <w:rFonts w:ascii="Times New Roman" w:hAnsi="Times New Roman" w:cs="Times New Roman"/>
          <w:sz w:val="22"/>
          <w:szCs w:val="22"/>
        </w:rPr>
      </w:pPr>
      <m:oMath>
        <m:d>
          <m:dPr>
            <m:begChr m:val="["/>
            <m:endChr m:val="]"/>
            <m:ctrlPr>
              <w:rPr>
                <w:rFonts w:ascii="Cambria Math" w:hAnsi="Cambria Math" w:cs="Times New Roman"/>
                <w:i/>
                <w:sz w:val="22"/>
                <w:szCs w:val="22"/>
              </w:rPr>
            </m:ctrlPr>
          </m:dPr>
          <m:e>
            <m:r>
              <w:rPr>
                <w:rFonts w:ascii="Cambria Math" w:hAnsi="Cambria Math" w:cs="Times New Roman"/>
                <w:sz w:val="22"/>
                <w:szCs w:val="22"/>
              </w:rPr>
              <m:t>1</m:t>
            </m:r>
          </m:e>
        </m:d>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r</m:t>
            </m:r>
          </m:sub>
        </m:sSub>
        <m:r>
          <w:rPr>
            <w:rFonts w:ascii="Cambria Math" w:hAnsi="Cambria Math" w:cs="Times New Roman"/>
            <w:sz w:val="22"/>
            <w:szCs w:val="22"/>
          </w:rPr>
          <m:t>=</m:t>
        </m:r>
        <m:d>
          <m:dPr>
            <m:begChr m:val="{"/>
            <m:endChr m:val=""/>
            <m:ctrlPr>
              <w:rPr>
                <w:rFonts w:ascii="Cambria Math" w:hAnsi="Cambria Math" w:cs="Times New Roman"/>
                <w:i/>
                <w:sz w:val="22"/>
                <w:szCs w:val="22"/>
              </w:rPr>
            </m:ctrlPr>
          </m:dPr>
          <m:e>
            <m:eqArr>
              <m:eqArrPr>
                <m:ctrlPr>
                  <w:rPr>
                    <w:rFonts w:ascii="Cambria Math" w:hAnsi="Cambria Math" w:cs="Times New Roman"/>
                    <w:i/>
                    <w:sz w:val="22"/>
                    <w:szCs w:val="22"/>
                  </w:rPr>
                </m:ctrlPr>
              </m:eqArrPr>
              <m:e>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medications</m:t>
                        </m:r>
                      </m:sub>
                    </m:sSub>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children</m:t>
                        </m:r>
                      </m:sub>
                    </m:sSub>
                  </m:den>
                </m:f>
                <m:r>
                  <w:rPr>
                    <w:rFonts w:ascii="Cambria Math" w:hAnsi="Cambria Math" w:cs="Times New Roman"/>
                    <w:sz w:val="22"/>
                    <w:szCs w:val="22"/>
                  </w:rPr>
                  <m:t xml:space="preserve">   |  &amp;</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campaigns</m:t>
                    </m:r>
                  </m:sub>
                </m:sSub>
                <m:r>
                  <w:rPr>
                    <w:rFonts w:ascii="Cambria Math" w:hAnsi="Cambria Math" w:cs="Times New Roman"/>
                    <w:sz w:val="22"/>
                    <w:szCs w:val="22"/>
                  </w:rPr>
                  <m:t>=1</m:t>
                </m:r>
              </m:e>
              <m:e>
                <m:r>
                  <w:rPr>
                    <w:rFonts w:ascii="Cambria Math" w:hAnsi="Cambria Math" w:cs="Times New Roman"/>
                    <w:sz w:val="22"/>
                    <w:szCs w:val="22"/>
                  </w:rPr>
                  <m:t>1- ρ</m:t>
                </m:r>
                <m:d>
                  <m:dPr>
                    <m:ctrlPr>
                      <w:rPr>
                        <w:rFonts w:ascii="Cambria Math" w:hAnsi="Cambria Math" w:cs="Times New Roman"/>
                        <w:i/>
                        <w:sz w:val="22"/>
                        <w:szCs w:val="22"/>
                      </w:rPr>
                    </m:ctrlPr>
                  </m:dPr>
                  <m:e>
                    <m:r>
                      <w:rPr>
                        <w:rFonts w:ascii="Cambria Math" w:hAnsi="Cambria Math" w:cs="Times New Roman"/>
                        <w:sz w:val="22"/>
                        <w:szCs w:val="22"/>
                      </w:rPr>
                      <m:t>α</m:t>
                    </m:r>
                  </m:e>
                </m:d>
                <m:r>
                  <w:rPr>
                    <w:rFonts w:ascii="Cambria Math" w:hAnsi="Cambria Math" w:cs="Times New Roman"/>
                    <w:sz w:val="22"/>
                    <w:szCs w:val="22"/>
                  </w:rPr>
                  <m:t xml:space="preserve"> |    &amp;</m:t>
                </m:r>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campaigns</m:t>
                    </m:r>
                  </m:sub>
                </m:sSub>
                <m:r>
                  <w:rPr>
                    <w:rFonts w:ascii="Cambria Math" w:hAnsi="Cambria Math" w:cs="Times New Roman"/>
                    <w:sz w:val="22"/>
                    <w:szCs w:val="22"/>
                  </w:rPr>
                  <m:t>=2</m:t>
                </m:r>
              </m:e>
            </m:eqArr>
          </m:e>
        </m:d>
      </m:oMath>
    </w:p>
    <w:p w14:paraId="622B3DB0" w14:textId="6B775100" w:rsidR="00234C81" w:rsidRDefault="0058717F" w:rsidP="00DE519C">
      <w:pPr>
        <w:pStyle w:val="NoteLevel1"/>
        <w:rPr>
          <w:rFonts w:ascii="Times New Roman" w:hAnsi="Times New Roman" w:cs="Times New Roman"/>
          <w:sz w:val="22"/>
          <w:szCs w:val="22"/>
        </w:rPr>
      </w:pPr>
      <m:oMath>
        <m:d>
          <m:dPr>
            <m:begChr m:val="["/>
            <m:endChr m:val="]"/>
            <m:ctrlPr>
              <w:rPr>
                <w:rFonts w:ascii="Cambria Math" w:hAnsi="Cambria Math" w:cs="Times New Roman"/>
                <w:i/>
                <w:sz w:val="22"/>
                <w:szCs w:val="22"/>
              </w:rPr>
            </m:ctrlPr>
          </m:dPr>
          <m:e>
            <m:r>
              <w:rPr>
                <w:rFonts w:ascii="Cambria Math" w:hAnsi="Cambria Math" w:cs="Times New Roman"/>
                <w:sz w:val="22"/>
                <w:szCs w:val="22"/>
              </w:rPr>
              <m:t>2</m:t>
            </m:r>
          </m:e>
        </m:d>
        <m:r>
          <w:rPr>
            <w:rFonts w:ascii="Cambria Math" w:hAnsi="Cambria Math" w:cs="Times New Roman"/>
            <w:sz w:val="22"/>
            <w:szCs w:val="22"/>
          </w:rPr>
          <m:t xml:space="preserve">    ρ</m:t>
        </m:r>
        <m:d>
          <m:dPr>
            <m:ctrlPr>
              <w:rPr>
                <w:rFonts w:ascii="Cambria Math" w:hAnsi="Cambria Math" w:cs="Times New Roman"/>
                <w:i/>
                <w:sz w:val="22"/>
                <w:szCs w:val="22"/>
              </w:rPr>
            </m:ctrlPr>
          </m:dPr>
          <m:e>
            <m:r>
              <w:rPr>
                <w:rFonts w:ascii="Cambria Math" w:hAnsi="Cambria Math" w:cs="Times New Roman"/>
                <w:sz w:val="22"/>
                <w:szCs w:val="22"/>
              </w:rPr>
              <m:t>α</m:t>
            </m:r>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(1-P</m:t>
            </m:r>
          </m:e>
          <m:sub>
            <m:r>
              <w:rPr>
                <w:rFonts w:ascii="Cambria Math" w:hAnsi="Cambria Math" w:cs="Times New Roman"/>
                <w:sz w:val="22"/>
                <w:szCs w:val="22"/>
              </w:rPr>
              <m:t>1</m:t>
            </m:r>
          </m:sub>
        </m:sSub>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1-</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2</m:t>
                </m:r>
              </m:sub>
            </m:sSub>
          </m:e>
        </m:d>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(α)*</m:t>
            </m:r>
            <m:rad>
              <m:radPr>
                <m:degHide m:val="1"/>
                <m:ctrlPr>
                  <w:rPr>
                    <w:rFonts w:ascii="Cambria Math" w:hAnsi="Cambria Math" w:cs="Times New Roman"/>
                    <w:i/>
                    <w:sz w:val="22"/>
                    <w:szCs w:val="22"/>
                  </w:rPr>
                </m:ctrlPr>
              </m:radPr>
              <m:deg/>
              <m:e>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1</m:t>
                    </m:r>
                  </m:sub>
                </m:sSub>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 xml:space="preserve">1- </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1</m:t>
                        </m:r>
                      </m:sub>
                    </m:sSub>
                  </m:e>
                </m:d>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 xml:space="preserve">2 </m:t>
                    </m:r>
                  </m:sub>
                </m:sSub>
                <m:r>
                  <w:rPr>
                    <w:rFonts w:ascii="Cambria Math" w:hAnsi="Cambria Math" w:cs="Times New Roman"/>
                    <w:sz w:val="22"/>
                    <w:szCs w:val="22"/>
                  </w:rPr>
                  <m:t>*</m:t>
                </m:r>
                <m:d>
                  <m:dPr>
                    <m:ctrlPr>
                      <w:rPr>
                        <w:rFonts w:ascii="Cambria Math" w:hAnsi="Cambria Math" w:cs="Times New Roman"/>
                        <w:i/>
                        <w:sz w:val="22"/>
                        <w:szCs w:val="22"/>
                      </w:rPr>
                    </m:ctrlPr>
                  </m:dPr>
                  <m:e>
                    <m:r>
                      <w:rPr>
                        <w:rFonts w:ascii="Cambria Math" w:hAnsi="Cambria Math" w:cs="Times New Roman"/>
                        <w:sz w:val="22"/>
                        <w:szCs w:val="22"/>
                      </w:rPr>
                      <m:t>1-</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2</m:t>
                        </m:r>
                      </m:sub>
                    </m:sSub>
                  </m:e>
                </m:d>
              </m:e>
            </m:rad>
          </m:e>
        </m:d>
        <m:r>
          <w:rPr>
            <w:rFonts w:ascii="Cambria Math" w:hAnsi="Cambria Math" w:cs="Times New Roman"/>
            <w:sz w:val="22"/>
            <w:szCs w:val="22"/>
          </w:rPr>
          <m:t xml:space="preserve"> </m:t>
        </m:r>
      </m:oMath>
    </w:p>
    <w:p w14:paraId="289A98DD" w14:textId="5FB546DD" w:rsidR="00EB499B" w:rsidRPr="00C62D2F" w:rsidRDefault="0058717F" w:rsidP="008A2C01">
      <w:pPr>
        <w:pStyle w:val="NoteLevel1"/>
        <w:numPr>
          <w:ilvl w:val="0"/>
          <w:numId w:val="0"/>
        </w:numPr>
        <w:rPr>
          <w:rFonts w:ascii="Times New Roman" w:hAnsi="Times New Roman" w:cs="Times New Roman"/>
        </w:rPr>
      </w:pPr>
      <m:oMath>
        <m:sSub>
          <m:sSubPr>
            <m:ctrlPr>
              <w:rPr>
                <w:rFonts w:ascii="Cambria Math" w:hAnsi="Cambria Math" w:cs="Times New Roman"/>
                <w:i/>
                <w:sz w:val="22"/>
                <w:szCs w:val="22"/>
              </w:rPr>
            </m:ctrlPr>
          </m:sSubPr>
          <m:e>
            <m:r>
              <w:rPr>
                <w:rFonts w:ascii="Cambria Math" w:hAnsi="Cambria Math" w:cs="Times New Roman"/>
                <w:sz w:val="22"/>
                <w:szCs w:val="22"/>
              </w:rPr>
              <m:t>where                 P</m:t>
            </m:r>
          </m:e>
          <m:sub>
            <m:r>
              <w:rPr>
                <w:rFonts w:ascii="Cambria Math" w:hAnsi="Cambria Math" w:cs="Times New Roman"/>
                <w:sz w:val="22"/>
                <w:szCs w:val="22"/>
              </w:rPr>
              <m:t>1</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medications ,  1</m:t>
                </m:r>
              </m:sub>
            </m:sSub>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children ,  1</m:t>
                </m:r>
              </m:sub>
            </m:sSub>
          </m:den>
        </m:f>
        <m:r>
          <w:rPr>
            <w:rFonts w:ascii="Cambria Math" w:hAnsi="Cambria Math" w:cs="Times New Roman"/>
            <w:sz w:val="22"/>
            <w:szCs w:val="22"/>
          </w:rPr>
          <m:t xml:space="preserve"> ;  </m:t>
        </m:r>
        <m:sSub>
          <m:sSubPr>
            <m:ctrlPr>
              <w:rPr>
                <w:rFonts w:ascii="Cambria Math" w:hAnsi="Cambria Math" w:cs="Times New Roman"/>
                <w:i/>
                <w:sz w:val="22"/>
                <w:szCs w:val="22"/>
              </w:rPr>
            </m:ctrlPr>
          </m:sSubPr>
          <m:e>
            <m:r>
              <w:rPr>
                <w:rFonts w:ascii="Cambria Math" w:hAnsi="Cambria Math" w:cs="Times New Roman"/>
                <w:sz w:val="22"/>
                <w:szCs w:val="22"/>
              </w:rPr>
              <m:t>P</m:t>
            </m:r>
          </m:e>
          <m:sub>
            <m:r>
              <w:rPr>
                <w:rFonts w:ascii="Cambria Math" w:hAnsi="Cambria Math" w:cs="Times New Roman"/>
                <w:sz w:val="22"/>
                <w:szCs w:val="22"/>
              </w:rPr>
              <m:t>2</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medications ,  2</m:t>
                </m:r>
              </m:sub>
            </m:sSub>
          </m:num>
          <m:den>
            <m:sSub>
              <m:sSubPr>
                <m:ctrlPr>
                  <w:rPr>
                    <w:rFonts w:ascii="Cambria Math" w:hAnsi="Cambria Math" w:cs="Times New Roman"/>
                    <w:i/>
                    <w:sz w:val="22"/>
                    <w:szCs w:val="22"/>
                  </w:rPr>
                </m:ctrlPr>
              </m:sSubPr>
              <m:e>
                <m:r>
                  <w:rPr>
                    <w:rFonts w:ascii="Cambria Math" w:hAnsi="Cambria Math" w:cs="Times New Roman"/>
                    <w:sz w:val="22"/>
                    <w:szCs w:val="22"/>
                  </w:rPr>
                  <m:t>N</m:t>
                </m:r>
              </m:e>
              <m:sub>
                <m:r>
                  <w:rPr>
                    <w:rFonts w:ascii="Cambria Math" w:hAnsi="Cambria Math" w:cs="Times New Roman"/>
                    <w:sz w:val="22"/>
                    <w:szCs w:val="22"/>
                  </w:rPr>
                  <m:t>children ,  2</m:t>
                </m:r>
              </m:sub>
            </m:sSub>
          </m:den>
        </m:f>
        <m:r>
          <w:rPr>
            <w:rFonts w:ascii="Cambria Math" w:hAnsi="Cambria Math" w:cs="Times New Roman"/>
            <w:sz w:val="22"/>
            <w:szCs w:val="22"/>
          </w:rPr>
          <m:t xml:space="preserve"> </m:t>
        </m:r>
      </m:oMath>
      <w:r w:rsidR="00D33575">
        <w:rPr>
          <w:rFonts w:ascii="Times New Roman" w:hAnsi="Times New Roman" w:cs="Times New Roman"/>
        </w:rPr>
        <w:t xml:space="preserve"> </w:t>
      </w:r>
    </w:p>
    <w:p w14:paraId="4C80D4AE" w14:textId="77777777" w:rsidR="00D33575" w:rsidRDefault="00D33575" w:rsidP="003744F0">
      <w:pPr>
        <w:pStyle w:val="NoteLevel1"/>
        <w:rPr>
          <w:rFonts w:ascii="Times New Roman" w:hAnsi="Times New Roman" w:cs="Times New Roman"/>
        </w:rPr>
      </w:pPr>
    </w:p>
    <w:p w14:paraId="699A7605" w14:textId="482949DA" w:rsidR="003744F0" w:rsidRPr="001613F2" w:rsidRDefault="00490B71" w:rsidP="00C76953">
      <w:pPr>
        <w:pStyle w:val="NoteLevel1"/>
        <w:rPr>
          <w:rFonts w:ascii="Times New Roman" w:hAnsi="Times New Roman" w:cs="Times New Roman"/>
        </w:rPr>
      </w:pPr>
      <w:r>
        <w:rPr>
          <w:rFonts w:ascii="Times New Roman" w:hAnsi="Times New Roman" w:cs="Times New Roman"/>
        </w:rPr>
        <w:t xml:space="preserve">Deworming coverage estimates </w:t>
      </w:r>
      <w:r w:rsidR="00DE519C">
        <w:rPr>
          <w:rFonts w:ascii="Times New Roman" w:hAnsi="Times New Roman" w:cs="Times New Roman"/>
        </w:rPr>
        <w:t>using WHO</w:t>
      </w:r>
      <w:r w:rsidR="00F23E38">
        <w:rPr>
          <w:rFonts w:ascii="Times New Roman" w:hAnsi="Times New Roman" w:cs="Times New Roman"/>
        </w:rPr>
        <w:t xml:space="preserve"> data</w:t>
      </w:r>
      <w:r w:rsidR="00DE519C">
        <w:rPr>
          <w:rFonts w:ascii="Times New Roman" w:hAnsi="Times New Roman" w:cs="Times New Roman"/>
        </w:rPr>
        <w:t xml:space="preserve"> </w:t>
      </w:r>
      <w:r>
        <w:rPr>
          <w:rFonts w:ascii="Times New Roman" w:hAnsi="Times New Roman" w:cs="Times New Roman"/>
        </w:rPr>
        <w:t xml:space="preserve">were calculated using one of two methods, </w:t>
      </w:r>
      <w:r w:rsidR="00F23E38">
        <w:rPr>
          <w:rFonts w:ascii="Times New Roman" w:hAnsi="Times New Roman" w:cs="Times New Roman"/>
        </w:rPr>
        <w:t>based on</w:t>
      </w:r>
      <w:r>
        <w:rPr>
          <w:rFonts w:ascii="Times New Roman" w:hAnsi="Times New Roman" w:cs="Times New Roman"/>
        </w:rPr>
        <w:t xml:space="preserve"> the number of eligible campaigns for a given </w:t>
      </w:r>
      <w:r w:rsidR="00BD411E">
        <w:rPr>
          <w:rFonts w:ascii="Times New Roman" w:hAnsi="Times New Roman" w:cs="Times New Roman"/>
        </w:rPr>
        <w:t>district</w:t>
      </w:r>
      <w:r>
        <w:rPr>
          <w:rFonts w:ascii="Times New Roman" w:hAnsi="Times New Roman" w:cs="Times New Roman"/>
        </w:rPr>
        <w:t xml:space="preserve">. For </w:t>
      </w:r>
      <w:r w:rsidR="00BD411E">
        <w:rPr>
          <w:rFonts w:ascii="Times New Roman" w:hAnsi="Times New Roman" w:cs="Times New Roman"/>
        </w:rPr>
        <w:t>district</w:t>
      </w:r>
      <w:r>
        <w:rPr>
          <w:rFonts w:ascii="Times New Roman" w:hAnsi="Times New Roman" w:cs="Times New Roman"/>
        </w:rPr>
        <w:t xml:space="preserve">s </w:t>
      </w:r>
      <w:r w:rsidR="00D8349B">
        <w:rPr>
          <w:rFonts w:ascii="Times New Roman" w:hAnsi="Times New Roman" w:cs="Times New Roman"/>
        </w:rPr>
        <w:t xml:space="preserve">where all </w:t>
      </w:r>
      <w:r w:rsidR="00DE519C">
        <w:rPr>
          <w:rFonts w:ascii="Times New Roman" w:hAnsi="Times New Roman" w:cs="Times New Roman"/>
        </w:rPr>
        <w:t>children</w:t>
      </w:r>
      <w:r w:rsidR="00D8349B">
        <w:rPr>
          <w:rFonts w:ascii="Times New Roman" w:hAnsi="Times New Roman" w:cs="Times New Roman"/>
        </w:rPr>
        <w:t xml:space="preserve"> included in DHS were </w:t>
      </w:r>
      <w:r w:rsidR="00DE519C">
        <w:rPr>
          <w:rFonts w:ascii="Times New Roman" w:hAnsi="Times New Roman" w:cs="Times New Roman"/>
        </w:rPr>
        <w:t xml:space="preserve">eligible for </w:t>
      </w:r>
      <w:r w:rsidR="00D8349B">
        <w:rPr>
          <w:rFonts w:ascii="Times New Roman" w:hAnsi="Times New Roman" w:cs="Times New Roman"/>
        </w:rPr>
        <w:t xml:space="preserve">only </w:t>
      </w:r>
      <w:r>
        <w:rPr>
          <w:rFonts w:ascii="Times New Roman" w:hAnsi="Times New Roman" w:cs="Times New Roman"/>
        </w:rPr>
        <w:t xml:space="preserve">one deworming campaign </w:t>
      </w:r>
      <w:r w:rsidR="009C1216">
        <w:rPr>
          <w:rFonts w:ascii="Times New Roman" w:hAnsi="Times New Roman" w:cs="Times New Roman"/>
        </w:rPr>
        <w:t>during</w:t>
      </w:r>
      <w:r w:rsidR="00D8349B">
        <w:rPr>
          <w:rFonts w:ascii="Times New Roman" w:hAnsi="Times New Roman" w:cs="Times New Roman"/>
        </w:rPr>
        <w:t xml:space="preserve"> the</w:t>
      </w:r>
      <w:r w:rsidR="009C1216">
        <w:rPr>
          <w:rFonts w:ascii="Times New Roman" w:hAnsi="Times New Roman" w:cs="Times New Roman"/>
        </w:rPr>
        <w:t xml:space="preserve"> recall period </w:t>
      </w:r>
      <w:r w:rsidR="00DE519C">
        <w:rPr>
          <w:rFonts w:ascii="Times New Roman" w:hAnsi="Times New Roman" w:cs="Times New Roman"/>
        </w:rPr>
        <w:t xml:space="preserve">for </w:t>
      </w:r>
      <w:r w:rsidR="00D8349B">
        <w:rPr>
          <w:rFonts w:ascii="Times New Roman" w:hAnsi="Times New Roman" w:cs="Times New Roman"/>
        </w:rPr>
        <w:t xml:space="preserve">each </w:t>
      </w:r>
      <w:r w:rsidR="009C1216">
        <w:rPr>
          <w:rFonts w:ascii="Times New Roman" w:hAnsi="Times New Roman" w:cs="Times New Roman"/>
        </w:rPr>
        <w:t>DHS interview</w:t>
      </w:r>
      <w:r>
        <w:rPr>
          <w:rFonts w:ascii="Times New Roman" w:hAnsi="Times New Roman" w:cs="Times New Roman"/>
        </w:rPr>
        <w:t>, we estimate</w:t>
      </w:r>
      <w:r w:rsidR="00BD411E">
        <w:rPr>
          <w:rFonts w:ascii="Times New Roman" w:hAnsi="Times New Roman" w:cs="Times New Roman"/>
        </w:rPr>
        <w:t>d</w:t>
      </w:r>
      <w:r>
        <w:rPr>
          <w:rFonts w:ascii="Times New Roman" w:hAnsi="Times New Roman" w:cs="Times New Roman"/>
        </w:rPr>
        <w:t xml:space="preserve"> coverage </w:t>
      </w:r>
      <w:r w:rsidR="00F23E38">
        <w:rPr>
          <w:rFonts w:ascii="Times New Roman" w:hAnsi="Times New Roman" w:cs="Times New Roman"/>
        </w:rPr>
        <w:t>with equation (1) and as outlined in the Methodology section</w:t>
      </w:r>
      <w:r>
        <w:rPr>
          <w:rFonts w:ascii="Times New Roman" w:hAnsi="Times New Roman" w:cs="Times New Roman"/>
        </w:rPr>
        <w:t xml:space="preserve">. For </w:t>
      </w:r>
      <w:r w:rsidR="00BD411E">
        <w:rPr>
          <w:rFonts w:ascii="Times New Roman" w:hAnsi="Times New Roman" w:cs="Times New Roman"/>
        </w:rPr>
        <w:t>district</w:t>
      </w:r>
      <w:r>
        <w:rPr>
          <w:rFonts w:ascii="Times New Roman" w:hAnsi="Times New Roman" w:cs="Times New Roman"/>
        </w:rPr>
        <w:t xml:space="preserve">s </w:t>
      </w:r>
      <w:r w:rsidR="00D8349B">
        <w:rPr>
          <w:rFonts w:ascii="Times New Roman" w:hAnsi="Times New Roman" w:cs="Times New Roman"/>
        </w:rPr>
        <w:t xml:space="preserve">where some </w:t>
      </w:r>
      <w:r w:rsidR="00DE519C">
        <w:rPr>
          <w:rFonts w:ascii="Times New Roman" w:hAnsi="Times New Roman" w:cs="Times New Roman"/>
        </w:rPr>
        <w:t>children</w:t>
      </w:r>
      <w:r w:rsidR="00D8349B">
        <w:rPr>
          <w:rFonts w:ascii="Times New Roman" w:hAnsi="Times New Roman" w:cs="Times New Roman"/>
        </w:rPr>
        <w:t xml:space="preserve"> included in DHS</w:t>
      </w:r>
      <w:r w:rsidR="00DE519C">
        <w:rPr>
          <w:rFonts w:ascii="Times New Roman" w:hAnsi="Times New Roman" w:cs="Times New Roman"/>
        </w:rPr>
        <w:t xml:space="preserve"> </w:t>
      </w:r>
      <w:r w:rsidR="00D8349B">
        <w:rPr>
          <w:rFonts w:ascii="Times New Roman" w:hAnsi="Times New Roman" w:cs="Times New Roman"/>
        </w:rPr>
        <w:t xml:space="preserve">were </w:t>
      </w:r>
      <w:r w:rsidR="00DE519C">
        <w:rPr>
          <w:rFonts w:ascii="Times New Roman" w:hAnsi="Times New Roman" w:cs="Times New Roman"/>
        </w:rPr>
        <w:t xml:space="preserve">eligible for </w:t>
      </w:r>
      <w:r>
        <w:rPr>
          <w:rFonts w:ascii="Times New Roman" w:hAnsi="Times New Roman" w:cs="Times New Roman"/>
        </w:rPr>
        <w:t>two campaigns</w:t>
      </w:r>
      <w:r w:rsidR="00D8349B">
        <w:rPr>
          <w:rFonts w:ascii="Times New Roman" w:hAnsi="Times New Roman" w:cs="Times New Roman"/>
        </w:rPr>
        <w:t xml:space="preserve"> overlapping</w:t>
      </w:r>
      <w:r w:rsidR="009C1216">
        <w:rPr>
          <w:rFonts w:ascii="Times New Roman" w:hAnsi="Times New Roman" w:cs="Times New Roman"/>
        </w:rPr>
        <w:t xml:space="preserve"> during </w:t>
      </w:r>
      <w:r w:rsidR="00D8349B">
        <w:rPr>
          <w:rFonts w:ascii="Times New Roman" w:hAnsi="Times New Roman" w:cs="Times New Roman"/>
        </w:rPr>
        <w:t xml:space="preserve">the recall period for some </w:t>
      </w:r>
      <w:r w:rsidR="00DE519C">
        <w:rPr>
          <w:rFonts w:ascii="Times New Roman" w:hAnsi="Times New Roman" w:cs="Times New Roman"/>
        </w:rPr>
        <w:t xml:space="preserve">DHS </w:t>
      </w:r>
      <w:r w:rsidR="00D8349B">
        <w:rPr>
          <w:rFonts w:ascii="Times New Roman" w:hAnsi="Times New Roman" w:cs="Times New Roman"/>
        </w:rPr>
        <w:t>interviews</w:t>
      </w:r>
      <w:r>
        <w:rPr>
          <w:rFonts w:ascii="Times New Roman" w:hAnsi="Times New Roman" w:cs="Times New Roman"/>
        </w:rPr>
        <w:t xml:space="preserve">, we </w:t>
      </w:r>
      <w:r w:rsidR="00CF580E">
        <w:rPr>
          <w:rFonts w:ascii="Times New Roman" w:hAnsi="Times New Roman" w:cs="Times New Roman"/>
        </w:rPr>
        <w:t xml:space="preserve">estimated </w:t>
      </w:r>
      <w:r>
        <w:rPr>
          <w:rFonts w:ascii="Times New Roman" w:hAnsi="Times New Roman" w:cs="Times New Roman"/>
        </w:rPr>
        <w:t xml:space="preserve">the </w:t>
      </w:r>
      <w:r w:rsidR="00BD411E">
        <w:rPr>
          <w:rFonts w:ascii="Times New Roman" w:hAnsi="Times New Roman" w:cs="Times New Roman"/>
        </w:rPr>
        <w:t>district-level</w:t>
      </w:r>
      <w:r>
        <w:rPr>
          <w:rFonts w:ascii="Times New Roman" w:hAnsi="Times New Roman" w:cs="Times New Roman"/>
        </w:rPr>
        <w:t xml:space="preserve"> </w:t>
      </w:r>
      <w:r w:rsidR="00DE519C">
        <w:rPr>
          <w:rFonts w:ascii="Times New Roman" w:hAnsi="Times New Roman" w:cs="Times New Roman"/>
        </w:rPr>
        <w:t xml:space="preserve">deworming </w:t>
      </w:r>
      <w:r>
        <w:rPr>
          <w:rFonts w:ascii="Times New Roman" w:hAnsi="Times New Roman" w:cs="Times New Roman"/>
        </w:rPr>
        <w:t xml:space="preserve">coverage using a linear combination of </w:t>
      </w:r>
      <w:r w:rsidR="00BD411E">
        <w:rPr>
          <w:rFonts w:ascii="Times New Roman" w:hAnsi="Times New Roman" w:cs="Times New Roman"/>
        </w:rPr>
        <w:t xml:space="preserve">the </w:t>
      </w:r>
      <w:r w:rsidR="00DE519C">
        <w:rPr>
          <w:rFonts w:ascii="Times New Roman" w:hAnsi="Times New Roman" w:cs="Times New Roman"/>
        </w:rPr>
        <w:t xml:space="preserve">reported </w:t>
      </w:r>
      <w:r w:rsidR="00BD411E">
        <w:rPr>
          <w:rFonts w:ascii="Times New Roman" w:hAnsi="Times New Roman" w:cs="Times New Roman"/>
        </w:rPr>
        <w:t xml:space="preserve">coverage for each </w:t>
      </w:r>
      <w:r w:rsidR="00DE519C">
        <w:rPr>
          <w:rFonts w:ascii="Times New Roman" w:hAnsi="Times New Roman" w:cs="Times New Roman"/>
        </w:rPr>
        <w:t xml:space="preserve">of the </w:t>
      </w:r>
      <w:r w:rsidR="00BD411E">
        <w:rPr>
          <w:rFonts w:ascii="Times New Roman" w:hAnsi="Times New Roman" w:cs="Times New Roman"/>
        </w:rPr>
        <w:t>overlapping campaign</w:t>
      </w:r>
      <w:r w:rsidR="00CF580E">
        <w:rPr>
          <w:rFonts w:ascii="Times New Roman" w:hAnsi="Times New Roman" w:cs="Times New Roman"/>
        </w:rPr>
        <w:t xml:space="preserve"> based on an estimated correlation coefficient</w:t>
      </w:r>
      <w:r w:rsidR="00DE519C">
        <w:rPr>
          <w:rFonts w:ascii="Times New Roman" w:hAnsi="Times New Roman" w:cs="Times New Roman"/>
        </w:rPr>
        <w:t xml:space="preserve"> and assumption of a </w:t>
      </w:r>
      <w:r w:rsidR="00F01648">
        <w:rPr>
          <w:rFonts w:ascii="Times New Roman" w:hAnsi="Times New Roman" w:cs="Times New Roman"/>
        </w:rPr>
        <w:t>binomial</w:t>
      </w:r>
      <w:r w:rsidR="00DE519C">
        <w:rPr>
          <w:rFonts w:ascii="Times New Roman" w:hAnsi="Times New Roman" w:cs="Times New Roman"/>
        </w:rPr>
        <w:t xml:space="preserve"> distribution</w:t>
      </w:r>
      <w:r w:rsidR="00F23E38">
        <w:rPr>
          <w:rFonts w:ascii="Times New Roman" w:hAnsi="Times New Roman" w:cs="Times New Roman"/>
        </w:rPr>
        <w:t xml:space="preserve"> (equation 2)</w:t>
      </w:r>
      <w:r>
        <w:rPr>
          <w:rFonts w:ascii="Times New Roman" w:hAnsi="Times New Roman" w:cs="Times New Roman"/>
        </w:rPr>
        <w:t xml:space="preserve">. We bounded the </w:t>
      </w:r>
      <w:r w:rsidR="00BD411E">
        <w:rPr>
          <w:rFonts w:ascii="Times New Roman" w:hAnsi="Times New Roman" w:cs="Times New Roman"/>
        </w:rPr>
        <w:t>district-level</w:t>
      </w:r>
      <w:r>
        <w:rPr>
          <w:rFonts w:ascii="Times New Roman" w:hAnsi="Times New Roman" w:cs="Times New Roman"/>
        </w:rPr>
        <w:t xml:space="preserve"> </w:t>
      </w:r>
      <w:r w:rsidR="00DE519C">
        <w:rPr>
          <w:rFonts w:ascii="Times New Roman" w:hAnsi="Times New Roman" w:cs="Times New Roman"/>
        </w:rPr>
        <w:t xml:space="preserve">deworming </w:t>
      </w:r>
      <w:r>
        <w:rPr>
          <w:rFonts w:ascii="Times New Roman" w:hAnsi="Times New Roman" w:cs="Times New Roman"/>
        </w:rPr>
        <w:t xml:space="preserve">coverage between the greater of either individual campaign </w:t>
      </w:r>
      <w:r w:rsidR="00BD411E" w:rsidRPr="00F40555">
        <w:rPr>
          <w:rFonts w:ascii="Times New Roman" w:hAnsi="Times New Roman" w:cs="Times New Roman"/>
        </w:rPr>
        <w:t>(</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Campaign, 1</m:t>
            </m:r>
          </m:sub>
        </m:sSub>
        <m:r>
          <w:rPr>
            <w:rFonts w:ascii="Cambria Math" w:hAnsi="Cambria Math" w:cs="Times New Roman"/>
          </w:rPr>
          <m:t>)</m:t>
        </m:r>
      </m:oMath>
      <w:r w:rsidRPr="00DC6A11">
        <w:rPr>
          <w:rFonts w:ascii="Times New Roman" w:hAnsi="Times New Roman" w:cs="Times New Roman"/>
          <w:sz w:val="22"/>
          <w:szCs w:val="22"/>
        </w:rPr>
        <w:t xml:space="preserve"> </w:t>
      </w:r>
      <w:r w:rsidR="00EB63DA">
        <w:rPr>
          <w:rFonts w:ascii="Times New Roman" w:hAnsi="Times New Roman" w:cs="Times New Roman"/>
          <w:sz w:val="22"/>
          <w:szCs w:val="22"/>
        </w:rPr>
        <w:t xml:space="preserve">as the lower bound </w:t>
      </w:r>
      <w:r>
        <w:rPr>
          <w:rFonts w:ascii="Times New Roman" w:hAnsi="Times New Roman" w:cs="Times New Roman"/>
        </w:rPr>
        <w:t xml:space="preserve">and </w:t>
      </w:r>
      <w:r w:rsidR="00EE29BC">
        <w:rPr>
          <w:rFonts w:ascii="Times New Roman" w:hAnsi="Times New Roman" w:cs="Times New Roman"/>
        </w:rPr>
        <w:t xml:space="preserve">the sum of </w:t>
      </w:r>
      <w:r w:rsidR="00DD7320">
        <w:rPr>
          <w:rFonts w:ascii="Times New Roman" w:hAnsi="Times New Roman" w:cs="Times New Roman"/>
        </w:rPr>
        <w:t>coverage reported for both campaigns</w:t>
      </w:r>
      <w:r w:rsidR="00EE29BC">
        <w:rPr>
          <w:rFonts w:ascii="Times New Roman" w:hAnsi="Times New Roman" w:cs="Times New Roman"/>
        </w:rPr>
        <w:t xml:space="preserve"> or </w:t>
      </w:r>
      <w:r>
        <w:rPr>
          <w:rFonts w:ascii="Times New Roman" w:hAnsi="Times New Roman" w:cs="Times New Roman"/>
        </w:rPr>
        <w:t>100%</w:t>
      </w:r>
      <w:r w:rsidR="00EB63DA">
        <w:rPr>
          <w:rFonts w:ascii="Times New Roman" w:hAnsi="Times New Roman" w:cs="Times New Roman"/>
        </w:rPr>
        <w:t xml:space="preserve"> as the upper bound</w:t>
      </w:r>
      <w:r>
        <w:rPr>
          <w:rFonts w:ascii="Times New Roman" w:hAnsi="Times New Roman" w:cs="Times New Roman"/>
        </w:rPr>
        <w:t xml:space="preserve">. We established a “treatment correlation” co-efficient, </w:t>
      </w:r>
      <m:oMath>
        <m:r>
          <w:rPr>
            <w:rFonts w:ascii="Cambria Math" w:hAnsi="Cambria Math" w:cs="Times New Roman"/>
          </w:rPr>
          <m:t>α</m:t>
        </m:r>
      </m:oMath>
      <w:r>
        <w:rPr>
          <w:rFonts w:ascii="Times New Roman" w:hAnsi="Times New Roman" w:cs="Times New Roman"/>
        </w:rPr>
        <w:t xml:space="preserve">, to account for </w:t>
      </w:r>
      <w:r w:rsidR="00BD411E">
        <w:rPr>
          <w:rFonts w:ascii="Times New Roman" w:hAnsi="Times New Roman" w:cs="Times New Roman"/>
        </w:rPr>
        <w:t xml:space="preserve">the </w:t>
      </w:r>
      <w:r w:rsidR="00B05966">
        <w:rPr>
          <w:rFonts w:ascii="Times New Roman" w:hAnsi="Times New Roman" w:cs="Times New Roman"/>
        </w:rPr>
        <w:t xml:space="preserve">correlation in coverage between both overlapping campaigns. The coefficient </w:t>
      </w:r>
      <w:r w:rsidR="008956FB">
        <w:rPr>
          <w:rFonts w:ascii="Times New Roman" w:hAnsi="Times New Roman" w:cs="Times New Roman"/>
        </w:rPr>
        <w:t xml:space="preserve">provided a measure for </w:t>
      </w:r>
      <w:r w:rsidR="00B05966">
        <w:rPr>
          <w:rFonts w:ascii="Times New Roman" w:hAnsi="Times New Roman" w:cs="Times New Roman"/>
        </w:rPr>
        <w:t xml:space="preserve">the </w:t>
      </w:r>
      <w:r w:rsidR="00EE29BC">
        <w:rPr>
          <w:rFonts w:ascii="Times New Roman" w:hAnsi="Times New Roman" w:cs="Times New Roman"/>
        </w:rPr>
        <w:t xml:space="preserve">correlation </w:t>
      </w:r>
      <w:r w:rsidR="00DD7320">
        <w:rPr>
          <w:rFonts w:ascii="Times New Roman" w:hAnsi="Times New Roman" w:cs="Times New Roman"/>
        </w:rPr>
        <w:t xml:space="preserve">between the targeted population of both deworming campaigns </w:t>
      </w:r>
      <w:r w:rsidR="00F40555">
        <w:rPr>
          <w:rFonts w:ascii="Times New Roman" w:hAnsi="Times New Roman" w:cs="Times New Roman"/>
        </w:rPr>
        <w:t>which was used to</w:t>
      </w:r>
      <w:r w:rsidR="00DD7320">
        <w:rPr>
          <w:rFonts w:ascii="Times New Roman" w:hAnsi="Times New Roman" w:cs="Times New Roman"/>
        </w:rPr>
        <w:t xml:space="preserve"> estimate the probability a given child was </w:t>
      </w:r>
      <w:r w:rsidR="00F23E38">
        <w:rPr>
          <w:rFonts w:ascii="Times New Roman" w:hAnsi="Times New Roman" w:cs="Times New Roman"/>
        </w:rPr>
        <w:t xml:space="preserve">treated </w:t>
      </w:r>
      <w:r w:rsidR="00DD7320">
        <w:rPr>
          <w:rFonts w:ascii="Times New Roman" w:hAnsi="Times New Roman" w:cs="Times New Roman"/>
        </w:rPr>
        <w:t xml:space="preserve">twice </w:t>
      </w:r>
      <m:oMath>
        <m:r>
          <w:rPr>
            <w:rFonts w:ascii="Cambria Math" w:hAnsi="Cambria Math" w:cs="Times New Roman"/>
          </w:rPr>
          <m:t>(ρ</m:t>
        </m:r>
      </m:oMath>
      <w:r w:rsidR="00DD7320" w:rsidRPr="00DC6A11">
        <w:rPr>
          <w:rFonts w:ascii="Times New Roman" w:hAnsi="Times New Roman" w:cs="Times New Roman"/>
        </w:rPr>
        <w:t>).</w:t>
      </w:r>
      <w:r w:rsidR="00DD7320">
        <w:rPr>
          <w:rFonts w:ascii="Times New Roman" w:hAnsi="Times New Roman" w:cs="Times New Roman"/>
          <w:sz w:val="22"/>
          <w:szCs w:val="22"/>
        </w:rPr>
        <w:t xml:space="preserve"> </w:t>
      </w:r>
      <w:r w:rsidR="00DD7320" w:rsidRPr="00DC6A11">
        <w:rPr>
          <w:rFonts w:ascii="Times New Roman" w:hAnsi="Times New Roman" w:cs="Times New Roman"/>
        </w:rPr>
        <w:t>We assumed deworming coverage across campaigns was correlated to some unknown degree and varied the correlation in sensitivity analyses.</w:t>
      </w:r>
      <w:r w:rsidR="00695874" w:rsidRPr="00DC6A11">
        <w:rPr>
          <w:rFonts w:ascii="Times New Roman" w:hAnsi="Times New Roman" w:cs="Times New Roman"/>
        </w:rPr>
        <w:t xml:space="preserve"> </w:t>
      </w:r>
      <m:oMath>
        <m:r>
          <w:rPr>
            <w:rFonts w:ascii="Cambria Math" w:hAnsi="Cambria Math" w:cs="Times New Roman"/>
          </w:rPr>
          <m:t>(1-ρ</m:t>
        </m:r>
        <m:d>
          <m:dPr>
            <m:ctrlPr>
              <w:rPr>
                <w:rFonts w:ascii="Cambria Math" w:hAnsi="Cambria Math" w:cs="Times New Roman"/>
                <w:i/>
              </w:rPr>
            </m:ctrlPr>
          </m:dPr>
          <m:e>
            <m:r>
              <w:rPr>
                <w:rFonts w:ascii="Cambria Math" w:hAnsi="Cambria Math" w:cs="Times New Roman"/>
              </w:rPr>
              <m:t>α</m:t>
            </m:r>
          </m:e>
        </m:d>
        <m:r>
          <w:rPr>
            <w:rFonts w:ascii="Cambria Math" w:hAnsi="Cambria Math" w:cs="Times New Roman"/>
          </w:rPr>
          <m:t>)</m:t>
        </m:r>
      </m:oMath>
      <w:r w:rsidR="008956FB">
        <w:rPr>
          <w:rFonts w:ascii="Times New Roman" w:hAnsi="Times New Roman" w:cs="Times New Roman"/>
        </w:rPr>
        <w:t xml:space="preserve"> in equation (1)</w:t>
      </w:r>
      <w:r w:rsidR="00695874" w:rsidRPr="00F01648" w:rsidDel="00DD7320">
        <w:rPr>
          <w:rFonts w:ascii="Times New Roman" w:hAnsi="Times New Roman" w:cs="Times New Roman"/>
        </w:rPr>
        <w:t xml:space="preserve"> </w:t>
      </w:r>
      <w:r w:rsidR="00695874" w:rsidRPr="00F01648">
        <w:rPr>
          <w:rFonts w:ascii="Times New Roman" w:hAnsi="Times New Roman" w:cs="Times New Roman"/>
        </w:rPr>
        <w:t>represents</w:t>
      </w:r>
      <w:r w:rsidR="00695874" w:rsidRPr="00DC6A11">
        <w:rPr>
          <w:rFonts w:ascii="Times New Roman" w:hAnsi="Times New Roman" w:cs="Times New Roman"/>
        </w:rPr>
        <w:t xml:space="preserve"> the total </w:t>
      </w:r>
      <w:r w:rsidR="00F40555">
        <w:rPr>
          <w:rFonts w:ascii="Times New Roman" w:hAnsi="Times New Roman" w:cs="Times New Roman"/>
        </w:rPr>
        <w:t xml:space="preserve">annual </w:t>
      </w:r>
      <w:r w:rsidR="00695874" w:rsidRPr="00DC6A11">
        <w:rPr>
          <w:rFonts w:ascii="Times New Roman" w:hAnsi="Times New Roman" w:cs="Times New Roman"/>
        </w:rPr>
        <w:t xml:space="preserve">proportion of unique pre-school aged children per district </w:t>
      </w:r>
      <w:r w:rsidR="00695874" w:rsidRPr="00DC6A11">
        <w:rPr>
          <w:rFonts w:ascii="Times New Roman" w:hAnsi="Times New Roman" w:cs="Times New Roman"/>
        </w:rPr>
        <w:lastRenderedPageBreak/>
        <w:t xml:space="preserve">who received deworming medication </w:t>
      </w:r>
      <w:r w:rsidR="008956FB">
        <w:rPr>
          <w:rFonts w:ascii="Times New Roman" w:hAnsi="Times New Roman" w:cs="Times New Roman"/>
        </w:rPr>
        <w:t>over</w:t>
      </w:r>
      <w:r w:rsidR="008956FB" w:rsidRPr="00DC6A11">
        <w:rPr>
          <w:rFonts w:ascii="Times New Roman" w:hAnsi="Times New Roman" w:cs="Times New Roman"/>
        </w:rPr>
        <w:t xml:space="preserve"> </w:t>
      </w:r>
      <w:r w:rsidR="00695874" w:rsidRPr="00DC6A11">
        <w:rPr>
          <w:rFonts w:ascii="Times New Roman" w:hAnsi="Times New Roman" w:cs="Times New Roman"/>
        </w:rPr>
        <w:t>two overlapping campaigns while accounting for repeat medication.</w:t>
      </w:r>
    </w:p>
    <w:p w14:paraId="58AE99EA" w14:textId="77777777" w:rsidR="00931DAF" w:rsidRPr="008A2C01" w:rsidRDefault="00931DAF" w:rsidP="008A2C01">
      <w:pPr>
        <w:pStyle w:val="NoteLevel1"/>
        <w:numPr>
          <w:ilvl w:val="0"/>
          <w:numId w:val="0"/>
        </w:numPr>
        <w:rPr>
          <w:rFonts w:ascii="Times New Roman" w:hAnsi="Times New Roman" w:cs="Times New Roman"/>
        </w:rPr>
      </w:pPr>
    </w:p>
    <w:p w14:paraId="72ABE55A" w14:textId="3D2A0819" w:rsidR="003918BA" w:rsidRPr="008A2C01" w:rsidRDefault="008A2C01" w:rsidP="008A2C01">
      <w:pPr>
        <w:pStyle w:val="NoteLevel1"/>
        <w:numPr>
          <w:ilvl w:val="0"/>
          <w:numId w:val="0"/>
        </w:numPr>
        <w:rPr>
          <w:rFonts w:ascii="Times New Roman" w:hAnsi="Times New Roman" w:cs="Times New Roman"/>
        </w:rPr>
      </w:pPr>
      <w:r>
        <w:rPr>
          <w:rFonts w:ascii="Times New Roman" w:hAnsi="Times New Roman" w:cs="Times New Roman"/>
        </w:rPr>
        <w:t xml:space="preserve">Equation </w:t>
      </w:r>
      <w:r w:rsidR="002C5161">
        <w:rPr>
          <w:rFonts w:ascii="Times New Roman" w:hAnsi="Times New Roman" w:cs="Times New Roman"/>
        </w:rPr>
        <w:t>3</w:t>
      </w:r>
      <w:r w:rsidR="00695874">
        <w:rPr>
          <w:rFonts w:ascii="Times New Roman" w:hAnsi="Times New Roman" w:cs="Times New Roman"/>
        </w:rPr>
        <w:t xml:space="preserve"> </w:t>
      </w:r>
      <w:r w:rsidR="00490B71">
        <w:rPr>
          <w:rFonts w:ascii="Times New Roman" w:hAnsi="Times New Roman" w:cs="Times New Roman"/>
        </w:rPr>
        <w:t>was used to</w:t>
      </w:r>
      <w:r>
        <w:rPr>
          <w:rFonts w:ascii="Times New Roman" w:hAnsi="Times New Roman" w:cs="Times New Roman"/>
        </w:rPr>
        <w:t xml:space="preserve"> </w:t>
      </w:r>
      <w:r w:rsidR="00490B71">
        <w:rPr>
          <w:rFonts w:ascii="Times New Roman" w:hAnsi="Times New Roman" w:cs="Times New Roman"/>
        </w:rPr>
        <w:t>fit</w:t>
      </w:r>
      <w:r w:rsidR="00AF1EE2">
        <w:rPr>
          <w:rFonts w:ascii="Times New Roman" w:hAnsi="Times New Roman" w:cs="Times New Roman"/>
        </w:rPr>
        <w:t xml:space="preserve"> the </w:t>
      </w:r>
      <w:r w:rsidR="00D33575">
        <w:rPr>
          <w:rFonts w:ascii="Times New Roman" w:hAnsi="Times New Roman" w:cs="Times New Roman"/>
        </w:rPr>
        <w:t xml:space="preserve">treatment correlation </w:t>
      </w:r>
      <w:r w:rsidR="00AF1EE2">
        <w:rPr>
          <w:rFonts w:ascii="Times New Roman" w:hAnsi="Times New Roman" w:cs="Times New Roman"/>
        </w:rPr>
        <w:t xml:space="preserve">value, </w:t>
      </w:r>
      <m:oMath>
        <m:r>
          <w:rPr>
            <w:rFonts w:ascii="Cambria Math" w:hAnsi="Cambria Math" w:cs="Times New Roman"/>
          </w:rPr>
          <m:t>α</m:t>
        </m:r>
      </m:oMath>
      <w:r w:rsidR="00AF1EE2">
        <w:rPr>
          <w:rFonts w:ascii="Times New Roman" w:hAnsi="Times New Roman" w:cs="Times New Roman"/>
        </w:rPr>
        <w:t>, by minimizing the sum of squares error</w:t>
      </w:r>
      <w:r w:rsidR="00925F17">
        <w:rPr>
          <w:rFonts w:ascii="Times New Roman" w:hAnsi="Times New Roman" w:cs="Times New Roman"/>
        </w:rPr>
        <w:t xml:space="preserve"> (SSE)</w:t>
      </w:r>
      <w:r w:rsidR="00AF1EE2">
        <w:rPr>
          <w:rFonts w:ascii="Times New Roman" w:hAnsi="Times New Roman" w:cs="Times New Roman"/>
        </w:rPr>
        <w:t xml:space="preserve"> for all </w:t>
      </w:r>
      <w:r w:rsidR="00BD411E">
        <w:rPr>
          <w:rFonts w:ascii="Times New Roman" w:hAnsi="Times New Roman" w:cs="Times New Roman"/>
        </w:rPr>
        <w:t>district</w:t>
      </w:r>
      <w:r w:rsidR="00AF1EE2">
        <w:rPr>
          <w:rFonts w:ascii="Times New Roman" w:hAnsi="Times New Roman" w:cs="Times New Roman"/>
        </w:rPr>
        <w:t xml:space="preserve">s between deworming coverage estimates </w:t>
      </w:r>
      <w:r w:rsidR="00695874">
        <w:rPr>
          <w:rFonts w:ascii="Times New Roman" w:hAnsi="Times New Roman" w:cs="Times New Roman"/>
        </w:rPr>
        <w:t>using data reported to</w:t>
      </w:r>
      <w:r w:rsidR="00AF1EE2">
        <w:rPr>
          <w:rFonts w:ascii="Times New Roman" w:hAnsi="Times New Roman" w:cs="Times New Roman"/>
        </w:rPr>
        <w:t xml:space="preserve"> WHO and </w:t>
      </w:r>
      <w:r w:rsidR="00BD411E">
        <w:rPr>
          <w:rFonts w:ascii="Times New Roman" w:hAnsi="Times New Roman" w:cs="Times New Roman"/>
        </w:rPr>
        <w:t xml:space="preserve">by </w:t>
      </w:r>
      <w:r w:rsidR="00AF1EE2">
        <w:rPr>
          <w:rFonts w:ascii="Times New Roman" w:hAnsi="Times New Roman" w:cs="Times New Roman"/>
        </w:rPr>
        <w:t>DHS.</w:t>
      </w:r>
    </w:p>
    <w:p w14:paraId="366C4550" w14:textId="77777777" w:rsidR="003918BA" w:rsidRPr="008A2C01" w:rsidRDefault="003918BA" w:rsidP="008A2C01">
      <w:pPr>
        <w:pStyle w:val="NoteLevel1"/>
        <w:numPr>
          <w:ilvl w:val="0"/>
          <w:numId w:val="0"/>
        </w:numPr>
        <w:rPr>
          <w:rFonts w:ascii="Times New Roman" w:hAnsi="Times New Roman" w:cs="Times New Roman"/>
        </w:rPr>
      </w:pPr>
    </w:p>
    <w:p w14:paraId="3D538937" w14:textId="6E7CCCF6" w:rsidR="00931DAF" w:rsidRPr="00CC6603" w:rsidRDefault="0058717F" w:rsidP="008A2C01">
      <w:pPr>
        <w:pStyle w:val="NoteLevel1"/>
        <w:rPr>
          <w:rFonts w:ascii="Times New Roman" w:hAnsi="Times New Roman" w:cs="Times New Roman"/>
          <w:sz w:val="22"/>
          <w:szCs w:val="22"/>
        </w:rPr>
      </w:pPr>
      <m:oMath>
        <m:d>
          <m:dPr>
            <m:begChr m:val="["/>
            <m:endChr m:val="]"/>
            <m:ctrlPr>
              <w:rPr>
                <w:rFonts w:ascii="Cambria Math" w:hAnsi="Cambria Math" w:cs="Times New Roman"/>
                <w:i/>
                <w:sz w:val="22"/>
                <w:szCs w:val="22"/>
              </w:rPr>
            </m:ctrlPr>
          </m:dPr>
          <m:e>
            <m:r>
              <w:rPr>
                <w:rFonts w:ascii="Cambria Math" w:hAnsi="Cambria Math" w:cs="Times New Roman"/>
                <w:sz w:val="22"/>
                <w:szCs w:val="22"/>
              </w:rPr>
              <m:t>3</m:t>
            </m:r>
          </m:e>
        </m:d>
        <m:r>
          <w:rPr>
            <w:rFonts w:ascii="Cambria Math" w:hAnsi="Cambria Math" w:cs="Times New Roman"/>
            <w:sz w:val="22"/>
            <w:szCs w:val="22"/>
          </w:rPr>
          <m:t xml:space="preserve">   SSE= </m:t>
        </m:r>
        <m:nary>
          <m:naryPr>
            <m:chr m:val="∑"/>
            <m:limLoc m:val="undOvr"/>
            <m:ctrlPr>
              <w:rPr>
                <w:rFonts w:ascii="Cambria Math" w:hAnsi="Cambria Math" w:cs="Times New Roman"/>
                <w:i/>
                <w:sz w:val="22"/>
                <w:szCs w:val="22"/>
              </w:rPr>
            </m:ctrlPr>
          </m:naryPr>
          <m:sub>
            <m:r>
              <w:rPr>
                <w:rFonts w:ascii="Cambria Math" w:hAnsi="Cambria Math" w:cs="Times New Roman"/>
                <w:sz w:val="22"/>
                <w:szCs w:val="22"/>
              </w:rPr>
              <m:t>r=1</m:t>
            </m:r>
          </m:sub>
          <m:sup>
            <m:r>
              <w:rPr>
                <w:rFonts w:ascii="Cambria Math" w:hAnsi="Cambria Math" w:cs="Times New Roman"/>
                <w:sz w:val="22"/>
                <w:szCs w:val="22"/>
              </w:rPr>
              <m:t>regions</m:t>
            </m:r>
          </m:sup>
          <m:e>
            <m:sSup>
              <m:sSupPr>
                <m:ctrlPr>
                  <w:rPr>
                    <w:rFonts w:ascii="Cambria Math" w:hAnsi="Cambria Math" w:cs="Times New Roman"/>
                    <w:i/>
                    <w:sz w:val="22"/>
                    <w:szCs w:val="22"/>
                  </w:rPr>
                </m:ctrlPr>
              </m:sSupPr>
              <m:e>
                <m:r>
                  <w:rPr>
                    <w:rFonts w:ascii="Cambria Math" w:hAnsi="Cambria Math" w:cs="Times New Roman"/>
                    <w:sz w:val="22"/>
                    <w:szCs w:val="22"/>
                  </w:rPr>
                  <m:t>(</m:t>
                </m:r>
                <m:acc>
                  <m:accPr>
                    <m:chr m:val="̅"/>
                    <m:ctrlPr>
                      <w:rPr>
                        <w:rFonts w:ascii="Cambria Math" w:hAnsi="Cambria Math" w:cs="Times New Roman"/>
                        <w:i/>
                        <w:sz w:val="22"/>
                        <w:szCs w:val="22"/>
                      </w:rPr>
                    </m:ctrlPr>
                  </m:accPr>
                  <m:e>
                    <m:sSub>
                      <m:sSubPr>
                        <m:ctrlPr>
                          <w:rPr>
                            <w:rFonts w:ascii="Cambria Math" w:hAnsi="Cambria Math" w:cs="Times New Roman"/>
                            <w:i/>
                            <w:sz w:val="22"/>
                            <w:szCs w:val="22"/>
                          </w:rPr>
                        </m:ctrlPr>
                      </m:sSubPr>
                      <m:e>
                        <m:r>
                          <w:rPr>
                            <w:rFonts w:ascii="Cambria Math" w:hAnsi="Cambria Math" w:cs="Times New Roman"/>
                            <w:sz w:val="22"/>
                            <w:szCs w:val="22"/>
                          </w:rPr>
                          <m:t>x</m:t>
                        </m:r>
                      </m:e>
                      <m:sub>
                        <m:r>
                          <w:rPr>
                            <w:rFonts w:ascii="Cambria Math" w:hAnsi="Cambria Math" w:cs="Times New Roman"/>
                            <w:sz w:val="22"/>
                            <w:szCs w:val="22"/>
                          </w:rPr>
                          <m:t>r</m:t>
                        </m:r>
                      </m:sub>
                    </m:sSub>
                  </m:e>
                </m:acc>
                <m:r>
                  <w:rPr>
                    <w:rFonts w:ascii="Cambria Math" w:hAnsi="Cambria Math" w:cs="Times New Roman"/>
                    <w:sz w:val="22"/>
                    <w:szCs w:val="22"/>
                  </w:rPr>
                  <m:t xml:space="preserve"> - </m:t>
                </m:r>
                <m:sSub>
                  <m:sSubPr>
                    <m:ctrlPr>
                      <w:rPr>
                        <w:rFonts w:ascii="Cambria Math" w:hAnsi="Cambria Math" w:cs="Times New Roman"/>
                        <w:i/>
                        <w:sz w:val="22"/>
                        <w:szCs w:val="22"/>
                      </w:rPr>
                    </m:ctrlPr>
                  </m:sSubPr>
                  <m:e>
                    <m:r>
                      <w:rPr>
                        <w:rFonts w:ascii="Cambria Math" w:hAnsi="Cambria Math" w:cs="Times New Roman"/>
                        <w:sz w:val="22"/>
                        <w:szCs w:val="22"/>
                      </w:rPr>
                      <m:t>μ</m:t>
                    </m:r>
                  </m:e>
                  <m:sub>
                    <m:r>
                      <w:rPr>
                        <w:rFonts w:ascii="Cambria Math" w:hAnsi="Cambria Math" w:cs="Times New Roman"/>
                        <w:sz w:val="22"/>
                        <w:szCs w:val="22"/>
                      </w:rPr>
                      <m:t>r</m:t>
                    </m:r>
                  </m:sub>
                </m:sSub>
                <m:r>
                  <w:rPr>
                    <w:rFonts w:ascii="Cambria Math" w:hAnsi="Cambria Math" w:cs="Times New Roman"/>
                    <w:sz w:val="22"/>
                    <w:szCs w:val="22"/>
                  </w:rPr>
                  <m:t>)</m:t>
                </m:r>
              </m:e>
              <m:sup>
                <m:r>
                  <w:rPr>
                    <w:rFonts w:ascii="Cambria Math" w:hAnsi="Cambria Math" w:cs="Times New Roman"/>
                    <w:sz w:val="22"/>
                    <w:szCs w:val="22"/>
                  </w:rPr>
                  <m:t>2</m:t>
                </m:r>
              </m:sup>
            </m:sSup>
          </m:e>
        </m:nary>
      </m:oMath>
    </w:p>
    <w:p w14:paraId="56A9934A" w14:textId="39B7F609" w:rsidR="00EC7EF4" w:rsidRDefault="00EC7EF4" w:rsidP="008A2C01">
      <w:pPr>
        <w:pStyle w:val="NoteLevel1"/>
        <w:rPr>
          <w:rFonts w:ascii="Times New Roman" w:hAnsi="Times New Roman" w:cs="Times New Roman"/>
        </w:rPr>
      </w:pPr>
    </w:p>
    <w:p w14:paraId="7DE01975" w14:textId="6E188D80" w:rsidR="00CC6603" w:rsidRDefault="00AF1EE2" w:rsidP="00CC6603">
      <w:pPr>
        <w:pStyle w:val="NoteLevel1"/>
        <w:numPr>
          <w:ilvl w:val="0"/>
          <w:numId w:val="0"/>
        </w:numPr>
        <w:rPr>
          <w:rFonts w:ascii="Times New Roman" w:hAnsi="Times New Roman" w:cs="Times New Roman"/>
          <w:i/>
          <w:u w:val="single"/>
        </w:rPr>
      </w:pPr>
      <w:r>
        <w:rPr>
          <w:rFonts w:ascii="Times New Roman" w:hAnsi="Times New Roman" w:cs="Times New Roman"/>
        </w:rPr>
        <w:t xml:space="preserve">We fit the </w:t>
      </w:r>
      <w:r w:rsidR="00695874">
        <w:rPr>
          <w:rFonts w:ascii="Times New Roman" w:hAnsi="Times New Roman" w:cs="Times New Roman"/>
        </w:rPr>
        <w:t>“</w:t>
      </w:r>
      <w:r>
        <w:rPr>
          <w:rFonts w:ascii="Times New Roman" w:hAnsi="Times New Roman" w:cs="Times New Roman"/>
        </w:rPr>
        <w:t>treatment correlation</w:t>
      </w:r>
      <w:r w:rsidR="00695874">
        <w:rPr>
          <w:rFonts w:ascii="Times New Roman" w:hAnsi="Times New Roman" w:cs="Times New Roman"/>
        </w:rPr>
        <w:t>”</w:t>
      </w:r>
      <w:r>
        <w:rPr>
          <w:rFonts w:ascii="Times New Roman" w:hAnsi="Times New Roman" w:cs="Times New Roman"/>
        </w:rPr>
        <w:t xml:space="preserve"> parameter, </w:t>
      </w:r>
      <m:oMath>
        <m:r>
          <w:rPr>
            <w:rFonts w:ascii="Cambria Math" w:hAnsi="Cambria Math" w:cs="Times New Roman"/>
          </w:rPr>
          <m:t>α</m:t>
        </m:r>
      </m:oMath>
      <w:r>
        <w:rPr>
          <w:rFonts w:ascii="Times New Roman" w:hAnsi="Times New Roman" w:cs="Times New Roman"/>
        </w:rPr>
        <w:t xml:space="preserve">, by minimizing the </w:t>
      </w:r>
      <w:r w:rsidR="00925F17">
        <w:rPr>
          <w:rFonts w:ascii="Times New Roman" w:hAnsi="Times New Roman" w:cs="Times New Roman"/>
        </w:rPr>
        <w:t xml:space="preserve">sum of squares error </w:t>
      </w:r>
      <w:r w:rsidR="00695874">
        <w:rPr>
          <w:rFonts w:ascii="Times New Roman" w:hAnsi="Times New Roman" w:cs="Times New Roman"/>
        </w:rPr>
        <w:t>across all</w:t>
      </w:r>
      <w:r>
        <w:rPr>
          <w:rFonts w:ascii="Times New Roman" w:hAnsi="Times New Roman" w:cs="Times New Roman"/>
        </w:rPr>
        <w:t xml:space="preserve"> </w:t>
      </w:r>
      <w:r w:rsidR="00695874">
        <w:rPr>
          <w:rFonts w:ascii="Times New Roman" w:hAnsi="Times New Roman" w:cs="Times New Roman"/>
        </w:rPr>
        <w:t xml:space="preserve">differences in </w:t>
      </w:r>
      <w:r w:rsidR="00BD411E">
        <w:rPr>
          <w:rFonts w:ascii="Times New Roman" w:hAnsi="Times New Roman" w:cs="Times New Roman"/>
        </w:rPr>
        <w:t>district-level</w:t>
      </w:r>
      <w:r>
        <w:rPr>
          <w:rFonts w:ascii="Times New Roman" w:hAnsi="Times New Roman" w:cs="Times New Roman"/>
        </w:rPr>
        <w:t xml:space="preserve"> deworming coverage reported to WHO and </w:t>
      </w:r>
      <w:r w:rsidR="00695874">
        <w:rPr>
          <w:rFonts w:ascii="Times New Roman" w:hAnsi="Times New Roman" w:cs="Times New Roman"/>
        </w:rPr>
        <w:t xml:space="preserve">estimated by </w:t>
      </w:r>
      <w:r>
        <w:rPr>
          <w:rFonts w:ascii="Times New Roman" w:hAnsi="Times New Roman" w:cs="Times New Roman"/>
        </w:rPr>
        <w:t xml:space="preserve">DHS. We fit the parameter over </w:t>
      </w:r>
      <w:r w:rsidR="005047C2">
        <w:rPr>
          <w:rFonts w:ascii="Times New Roman" w:hAnsi="Times New Roman" w:cs="Times New Roman"/>
        </w:rPr>
        <w:t>250</w:t>
      </w:r>
      <w:r>
        <w:rPr>
          <w:rFonts w:ascii="Times New Roman" w:hAnsi="Times New Roman" w:cs="Times New Roman"/>
        </w:rPr>
        <w:t>,000 trials until convergence</w:t>
      </w:r>
      <w:r w:rsidR="00490B71">
        <w:rPr>
          <w:rFonts w:ascii="Times New Roman" w:hAnsi="Times New Roman" w:cs="Times New Roman"/>
        </w:rPr>
        <w:t xml:space="preserve"> (See Figure A1)</w:t>
      </w:r>
      <w:r>
        <w:rPr>
          <w:rFonts w:ascii="Times New Roman" w:hAnsi="Times New Roman" w:cs="Times New Roman"/>
        </w:rPr>
        <w:t>.</w:t>
      </w:r>
    </w:p>
    <w:p w14:paraId="6A8A8980" w14:textId="77777777" w:rsidR="00CC6603" w:rsidRPr="00490B71" w:rsidRDefault="00CC6603" w:rsidP="00CC6603">
      <w:pPr>
        <w:pStyle w:val="NoteLevel1"/>
        <w:numPr>
          <w:ilvl w:val="0"/>
          <w:numId w:val="0"/>
        </w:numPr>
        <w:rPr>
          <w:rFonts w:ascii="Times New Roman" w:hAnsi="Times New Roman" w:cs="Times New Roman"/>
        </w:rPr>
      </w:pPr>
    </w:p>
    <w:p w14:paraId="2EBCEA72" w14:textId="2A02D2E8" w:rsidR="00490B71" w:rsidRPr="00CC6603" w:rsidRDefault="00490B71" w:rsidP="00CC6603">
      <w:pPr>
        <w:pStyle w:val="NoteLevel1"/>
        <w:rPr>
          <w:rFonts w:ascii="Times New Roman" w:hAnsi="Times New Roman" w:cs="Times New Roman"/>
        </w:rPr>
      </w:pPr>
      <w:r w:rsidRPr="00CC6603">
        <w:rPr>
          <w:rFonts w:ascii="Times New Roman" w:hAnsi="Times New Roman" w:cs="Times New Roman"/>
          <w:i/>
          <w:u w:val="single"/>
        </w:rPr>
        <w:t xml:space="preserve">Deworming estimates using data provided by </w:t>
      </w:r>
      <w:r w:rsidR="00885AC5" w:rsidRPr="00CC6603">
        <w:rPr>
          <w:rFonts w:ascii="Times New Roman" w:hAnsi="Times New Roman" w:cs="Times New Roman"/>
          <w:i/>
          <w:u w:val="single"/>
        </w:rPr>
        <w:t>DHS</w:t>
      </w:r>
    </w:p>
    <w:p w14:paraId="207AEF4F" w14:textId="57627A04" w:rsidR="00490B71" w:rsidRDefault="00490B71" w:rsidP="00490B71">
      <w:pPr>
        <w:pStyle w:val="NoteLevel1"/>
        <w:numPr>
          <w:ilvl w:val="0"/>
          <w:numId w:val="0"/>
        </w:numPr>
        <w:rPr>
          <w:rFonts w:ascii="Times New Roman" w:hAnsi="Times New Roman" w:cs="Times New Roman"/>
        </w:rPr>
      </w:pPr>
      <w:r w:rsidRPr="00AF1EE2">
        <w:rPr>
          <w:rFonts w:ascii="Times New Roman" w:hAnsi="Times New Roman" w:cs="Times New Roman"/>
        </w:rPr>
        <w:t xml:space="preserve">We </w:t>
      </w:r>
      <w:r w:rsidR="00BA241A">
        <w:rPr>
          <w:rFonts w:ascii="Times New Roman" w:hAnsi="Times New Roman" w:cs="Times New Roman"/>
        </w:rPr>
        <w:t>used</w:t>
      </w:r>
      <w:r w:rsidRPr="00AF1EE2">
        <w:rPr>
          <w:rFonts w:ascii="Times New Roman" w:hAnsi="Times New Roman" w:cs="Times New Roman"/>
        </w:rPr>
        <w:t xml:space="preserve"> individual</w:t>
      </w:r>
      <w:r w:rsidR="00695874">
        <w:rPr>
          <w:rFonts w:ascii="Times New Roman" w:hAnsi="Times New Roman" w:cs="Times New Roman"/>
        </w:rPr>
        <w:t>-level</w:t>
      </w:r>
      <w:r w:rsidRPr="00AF1EE2">
        <w:rPr>
          <w:rFonts w:ascii="Times New Roman" w:hAnsi="Times New Roman" w:cs="Times New Roman"/>
        </w:rPr>
        <w:t xml:space="preserve"> survey data collected from </w:t>
      </w:r>
      <w:r w:rsidR="00431AC6">
        <w:rPr>
          <w:rFonts w:ascii="Times New Roman" w:hAnsi="Times New Roman" w:cs="Times New Roman"/>
        </w:rPr>
        <w:t>maternal</w:t>
      </w:r>
      <w:r w:rsidR="00431AC6" w:rsidRPr="00AF1EE2">
        <w:rPr>
          <w:rFonts w:ascii="Times New Roman" w:hAnsi="Times New Roman" w:cs="Times New Roman"/>
        </w:rPr>
        <w:t xml:space="preserve"> </w:t>
      </w:r>
      <w:r w:rsidRPr="00AF1EE2">
        <w:rPr>
          <w:rFonts w:ascii="Times New Roman" w:hAnsi="Times New Roman" w:cs="Times New Roman"/>
        </w:rPr>
        <w:t>respondents</w:t>
      </w:r>
      <w:r w:rsidR="0031759C">
        <w:rPr>
          <w:rFonts w:ascii="Times New Roman" w:hAnsi="Times New Roman" w:cs="Times New Roman"/>
        </w:rPr>
        <w:t>,</w:t>
      </w:r>
      <w:r w:rsidRPr="00AF1EE2">
        <w:rPr>
          <w:rFonts w:ascii="Times New Roman" w:hAnsi="Times New Roman" w:cs="Times New Roman"/>
        </w:rPr>
        <w:t xml:space="preserve"> </w:t>
      </w:r>
      <w:r w:rsidR="00695874">
        <w:rPr>
          <w:rFonts w:ascii="Times New Roman" w:hAnsi="Times New Roman" w:cs="Times New Roman"/>
        </w:rPr>
        <w:t>serving as proxies for their children</w:t>
      </w:r>
      <w:r w:rsidR="0031759C">
        <w:rPr>
          <w:rFonts w:ascii="Times New Roman" w:hAnsi="Times New Roman" w:cs="Times New Roman"/>
        </w:rPr>
        <w:t>,</w:t>
      </w:r>
      <w:r w:rsidR="00695874">
        <w:rPr>
          <w:rFonts w:ascii="Times New Roman" w:hAnsi="Times New Roman" w:cs="Times New Roman"/>
        </w:rPr>
        <w:t xml:space="preserve"> to collect </w:t>
      </w:r>
      <w:r w:rsidRPr="00AF1EE2">
        <w:rPr>
          <w:rFonts w:ascii="Times New Roman" w:hAnsi="Times New Roman" w:cs="Times New Roman"/>
        </w:rPr>
        <w:t xml:space="preserve">information </w:t>
      </w:r>
      <w:r w:rsidR="00695874">
        <w:rPr>
          <w:rFonts w:ascii="Times New Roman" w:hAnsi="Times New Roman" w:cs="Times New Roman"/>
        </w:rPr>
        <w:t>on</w:t>
      </w:r>
      <w:r w:rsidR="00695874" w:rsidRPr="00AF1EE2">
        <w:rPr>
          <w:rFonts w:ascii="Times New Roman" w:hAnsi="Times New Roman" w:cs="Times New Roman"/>
        </w:rPr>
        <w:t xml:space="preserve"> </w:t>
      </w:r>
      <w:r w:rsidRPr="00AF1EE2">
        <w:rPr>
          <w:rFonts w:ascii="Times New Roman" w:hAnsi="Times New Roman" w:cs="Times New Roman"/>
        </w:rPr>
        <w:t>relevant variables, including pre-school child deworming receipt status. We relied on responses to survey questions from the DHS-VI</w:t>
      </w:r>
      <w:r w:rsidR="00695874">
        <w:rPr>
          <w:rFonts w:ascii="Times New Roman" w:hAnsi="Times New Roman" w:cs="Times New Roman"/>
        </w:rPr>
        <w:t xml:space="preserve"> questionnaire</w:t>
      </w:r>
      <w:r w:rsidRPr="00AF1EE2">
        <w:rPr>
          <w:rFonts w:ascii="Times New Roman" w:hAnsi="Times New Roman" w:cs="Times New Roman"/>
        </w:rPr>
        <w:t xml:space="preserve"> </w:t>
      </w:r>
      <w:r>
        <w:rPr>
          <w:rFonts w:ascii="Times New Roman" w:hAnsi="Times New Roman" w:cs="Times New Roman"/>
        </w:rPr>
        <w:t xml:space="preserve">(See </w:t>
      </w:r>
      <w:r w:rsidRPr="00AF1EE2">
        <w:rPr>
          <w:rFonts w:ascii="Times New Roman" w:hAnsi="Times New Roman" w:cs="Times New Roman"/>
        </w:rPr>
        <w:t>Table A1</w:t>
      </w:r>
      <w:r>
        <w:rPr>
          <w:rFonts w:ascii="Times New Roman" w:hAnsi="Times New Roman" w:cs="Times New Roman"/>
        </w:rPr>
        <w:t>)</w:t>
      </w:r>
      <w:r w:rsidRPr="00AF1EE2">
        <w:rPr>
          <w:rFonts w:ascii="Times New Roman" w:hAnsi="Times New Roman" w:cs="Times New Roman"/>
        </w:rPr>
        <w:t xml:space="preserve"> to determine </w:t>
      </w:r>
      <w:r w:rsidR="00695874">
        <w:rPr>
          <w:rFonts w:ascii="Times New Roman" w:hAnsi="Times New Roman" w:cs="Times New Roman"/>
        </w:rPr>
        <w:t xml:space="preserve">district-level </w:t>
      </w:r>
      <w:r w:rsidRPr="00AF1EE2">
        <w:rPr>
          <w:rFonts w:ascii="Times New Roman" w:hAnsi="Times New Roman" w:cs="Times New Roman"/>
        </w:rPr>
        <w:t>deworming coverage in pre-school aged children. Responses were filtered to include</w:t>
      </w:r>
      <w:r w:rsidR="002678B2">
        <w:rPr>
          <w:rFonts w:ascii="Times New Roman" w:hAnsi="Times New Roman" w:cs="Times New Roman"/>
        </w:rPr>
        <w:t xml:space="preserve"> only</w:t>
      </w:r>
      <w:r w:rsidRPr="00AF1EE2">
        <w:rPr>
          <w:rFonts w:ascii="Times New Roman" w:hAnsi="Times New Roman" w:cs="Times New Roman"/>
        </w:rPr>
        <w:t xml:space="preserve"> children over 12 months in age</w:t>
      </w:r>
      <w:r w:rsidR="009C1216">
        <w:rPr>
          <w:rFonts w:ascii="Times New Roman" w:hAnsi="Times New Roman" w:cs="Times New Roman"/>
        </w:rPr>
        <w:t xml:space="preserve"> at time of deworming based </w:t>
      </w:r>
      <w:r w:rsidR="00431AC6">
        <w:rPr>
          <w:rFonts w:ascii="Times New Roman" w:hAnsi="Times New Roman" w:cs="Times New Roman"/>
        </w:rPr>
        <w:t xml:space="preserve">on the date </w:t>
      </w:r>
      <w:r w:rsidR="009C1216">
        <w:rPr>
          <w:rFonts w:ascii="Times New Roman" w:hAnsi="Times New Roman" w:cs="Times New Roman"/>
        </w:rPr>
        <w:t>deworming campaign</w:t>
      </w:r>
      <w:r w:rsidR="0031759C">
        <w:rPr>
          <w:rFonts w:ascii="Times New Roman" w:hAnsi="Times New Roman" w:cs="Times New Roman"/>
        </w:rPr>
        <w:t>s</w:t>
      </w:r>
      <w:r w:rsidR="00695874">
        <w:rPr>
          <w:rFonts w:ascii="Times New Roman" w:hAnsi="Times New Roman" w:cs="Times New Roman"/>
        </w:rPr>
        <w:t xml:space="preserve"> were initiated</w:t>
      </w:r>
      <w:r w:rsidR="009C1216">
        <w:rPr>
          <w:rFonts w:ascii="Times New Roman" w:hAnsi="Times New Roman" w:cs="Times New Roman"/>
        </w:rPr>
        <w:t xml:space="preserve"> in their district of residence</w:t>
      </w:r>
      <w:r w:rsidRPr="00AF1EE2">
        <w:rPr>
          <w:rFonts w:ascii="Times New Roman" w:hAnsi="Times New Roman" w:cs="Times New Roman"/>
        </w:rPr>
        <w:t xml:space="preserve">. </w:t>
      </w:r>
      <w:r w:rsidR="002678B2">
        <w:rPr>
          <w:rFonts w:ascii="Times New Roman" w:hAnsi="Times New Roman" w:cs="Times New Roman"/>
        </w:rPr>
        <w:t>We only included responses to deworming status collected within an</w:t>
      </w:r>
      <w:r w:rsidRPr="00AF1EE2">
        <w:rPr>
          <w:rFonts w:ascii="Times New Roman" w:hAnsi="Times New Roman" w:cs="Times New Roman"/>
        </w:rPr>
        <w:t xml:space="preserve"> established recall period following </w:t>
      </w:r>
      <w:r w:rsidR="004B10E0">
        <w:rPr>
          <w:rFonts w:ascii="Times New Roman" w:hAnsi="Times New Roman" w:cs="Times New Roman"/>
        </w:rPr>
        <w:t>the initiation date for deworming</w:t>
      </w:r>
      <w:r w:rsidR="004B10E0" w:rsidRPr="00AF1EE2">
        <w:rPr>
          <w:rFonts w:ascii="Times New Roman" w:hAnsi="Times New Roman" w:cs="Times New Roman"/>
        </w:rPr>
        <w:t xml:space="preserve"> </w:t>
      </w:r>
      <w:r w:rsidRPr="00AF1EE2">
        <w:rPr>
          <w:rFonts w:ascii="Times New Roman" w:hAnsi="Times New Roman" w:cs="Times New Roman"/>
        </w:rPr>
        <w:t>campaign</w:t>
      </w:r>
      <w:r w:rsidR="004B10E0">
        <w:rPr>
          <w:rFonts w:ascii="Times New Roman" w:hAnsi="Times New Roman" w:cs="Times New Roman"/>
        </w:rPr>
        <w:t>s</w:t>
      </w:r>
      <w:r w:rsidR="009C1216">
        <w:rPr>
          <w:rFonts w:ascii="Times New Roman" w:hAnsi="Times New Roman" w:cs="Times New Roman"/>
        </w:rPr>
        <w:t xml:space="preserve"> reported to WHO</w:t>
      </w:r>
      <w:r w:rsidRPr="00AF1EE2">
        <w:rPr>
          <w:rFonts w:ascii="Times New Roman" w:hAnsi="Times New Roman" w:cs="Times New Roman"/>
        </w:rPr>
        <w:t xml:space="preserve">. Below we list the equations used to </w:t>
      </w:r>
      <w:r w:rsidR="002678B2">
        <w:rPr>
          <w:rFonts w:ascii="Times New Roman" w:hAnsi="Times New Roman" w:cs="Times New Roman"/>
        </w:rPr>
        <w:t>estimate</w:t>
      </w:r>
      <w:r w:rsidRPr="00AF1EE2">
        <w:rPr>
          <w:rFonts w:ascii="Times New Roman" w:hAnsi="Times New Roman" w:cs="Times New Roman"/>
        </w:rPr>
        <w:t xml:space="preserve"> mean deworming coverage </w:t>
      </w:r>
      <w:r w:rsidR="002678B2">
        <w:rPr>
          <w:rFonts w:ascii="Times New Roman" w:hAnsi="Times New Roman" w:cs="Times New Roman"/>
        </w:rPr>
        <w:t>and</w:t>
      </w:r>
      <w:r w:rsidRPr="00AF1EE2">
        <w:rPr>
          <w:rFonts w:ascii="Times New Roman" w:hAnsi="Times New Roman" w:cs="Times New Roman"/>
        </w:rPr>
        <w:t xml:space="preserve"> standard deviation</w:t>
      </w:r>
      <w:r w:rsidR="002678B2">
        <w:rPr>
          <w:rFonts w:ascii="Times New Roman" w:hAnsi="Times New Roman" w:cs="Times New Roman"/>
        </w:rPr>
        <w:t xml:space="preserve"> per district</w:t>
      </w:r>
      <w:r w:rsidRPr="00AF1EE2">
        <w:rPr>
          <w:rFonts w:ascii="Times New Roman" w:hAnsi="Times New Roman" w:cs="Times New Roman"/>
        </w:rPr>
        <w:t>.</w:t>
      </w:r>
    </w:p>
    <w:p w14:paraId="273B5FA6" w14:textId="77777777" w:rsidR="00490B71" w:rsidRPr="00AF1EE2" w:rsidRDefault="00490B71" w:rsidP="00490B71">
      <w:pPr>
        <w:pStyle w:val="NoteLevel1"/>
        <w:numPr>
          <w:ilvl w:val="0"/>
          <w:numId w:val="0"/>
        </w:numPr>
        <w:rPr>
          <w:rFonts w:ascii="Times New Roman" w:hAnsi="Times New Roman" w:cs="Times New Roman"/>
        </w:rPr>
      </w:pPr>
    </w:p>
    <w:p w14:paraId="2BD134C1" w14:textId="730309CF" w:rsidR="00490B71" w:rsidRPr="008A2C01" w:rsidRDefault="00490B71" w:rsidP="00490B71">
      <w:pPr>
        <w:pStyle w:val="NoteLevel1"/>
        <w:numPr>
          <w:ilvl w:val="0"/>
          <w:numId w:val="0"/>
        </w:numPr>
        <w:rPr>
          <w:rFonts w:ascii="Times New Roman" w:hAnsi="Times New Roman" w:cs="Times New Roman"/>
        </w:rPr>
      </w:pPr>
      <w:r>
        <w:rPr>
          <w:rFonts w:ascii="Times New Roman" w:hAnsi="Times New Roman" w:cs="Times New Roman"/>
        </w:rPr>
        <w:t>Equation</w:t>
      </w:r>
      <w:r w:rsidR="0031759C">
        <w:rPr>
          <w:rFonts w:ascii="Times New Roman" w:hAnsi="Times New Roman" w:cs="Times New Roman"/>
        </w:rPr>
        <w:t>s</w:t>
      </w:r>
      <w:r>
        <w:rPr>
          <w:rFonts w:ascii="Times New Roman" w:hAnsi="Times New Roman" w:cs="Times New Roman"/>
        </w:rPr>
        <w:t xml:space="preserve"> </w:t>
      </w:r>
      <w:r w:rsidR="002C5161">
        <w:rPr>
          <w:rFonts w:ascii="Times New Roman" w:hAnsi="Times New Roman" w:cs="Times New Roman"/>
        </w:rPr>
        <w:t>4</w:t>
      </w:r>
      <w:r w:rsidR="0031759C">
        <w:rPr>
          <w:rFonts w:ascii="Times New Roman" w:hAnsi="Times New Roman" w:cs="Times New Roman"/>
        </w:rPr>
        <w:t xml:space="preserve"> and 5</w:t>
      </w:r>
      <w:r>
        <w:rPr>
          <w:rFonts w:ascii="Times New Roman" w:hAnsi="Times New Roman" w:cs="Times New Roman"/>
        </w:rPr>
        <w:t xml:space="preserve"> </w:t>
      </w:r>
      <w:r w:rsidR="0031759C">
        <w:rPr>
          <w:rFonts w:ascii="Times New Roman" w:hAnsi="Times New Roman" w:cs="Times New Roman"/>
        </w:rPr>
        <w:t xml:space="preserve">were </w:t>
      </w:r>
      <w:r w:rsidR="002678B2">
        <w:rPr>
          <w:rFonts w:ascii="Times New Roman" w:hAnsi="Times New Roman" w:cs="Times New Roman"/>
        </w:rPr>
        <w:t>used to estimate</w:t>
      </w:r>
      <w:r>
        <w:rPr>
          <w:rFonts w:ascii="Times New Roman" w:hAnsi="Times New Roman" w:cs="Times New Roman"/>
        </w:rPr>
        <w:t xml:space="preserve"> the </w:t>
      </w:r>
      <w:r w:rsidR="004B10E0">
        <w:rPr>
          <w:rFonts w:ascii="Times New Roman" w:hAnsi="Times New Roman" w:cs="Times New Roman"/>
        </w:rPr>
        <w:t xml:space="preserve">district-level </w:t>
      </w:r>
      <w:r>
        <w:rPr>
          <w:rFonts w:ascii="Times New Roman" w:hAnsi="Times New Roman" w:cs="Times New Roman"/>
        </w:rPr>
        <w:t xml:space="preserve">deworming coverage </w:t>
      </w:r>
      <w:r w:rsidR="004B10E0">
        <w:rPr>
          <w:rFonts w:ascii="Times New Roman" w:hAnsi="Times New Roman" w:cs="Times New Roman"/>
        </w:rPr>
        <w:t>by DHS</w:t>
      </w:r>
      <w:r w:rsidR="0031759C">
        <w:rPr>
          <w:rFonts w:ascii="Times New Roman" w:hAnsi="Times New Roman" w:cs="Times New Roman"/>
        </w:rPr>
        <w:t xml:space="preserve"> and its standard deviation</w:t>
      </w:r>
      <w:r w:rsidR="00980EF4">
        <w:rPr>
          <w:rFonts w:ascii="Times New Roman" w:hAnsi="Times New Roman" w:cs="Times New Roman"/>
        </w:rPr>
        <w:t>, respectively</w:t>
      </w:r>
      <w:r>
        <w:rPr>
          <w:rFonts w:ascii="Times New Roman" w:hAnsi="Times New Roman" w:cs="Times New Roman"/>
        </w:rPr>
        <w:t>:</w:t>
      </w:r>
    </w:p>
    <w:p w14:paraId="13E1949A" w14:textId="77777777" w:rsidR="00490B71" w:rsidRPr="008A2C01" w:rsidRDefault="00490B71" w:rsidP="00490B71">
      <w:pPr>
        <w:pStyle w:val="NoteLevel1"/>
        <w:numPr>
          <w:ilvl w:val="0"/>
          <w:numId w:val="0"/>
        </w:numPr>
        <w:rPr>
          <w:rFonts w:ascii="Times New Roman" w:hAnsi="Times New Roman" w:cs="Times New Roman"/>
        </w:rPr>
      </w:pPr>
    </w:p>
    <w:p w14:paraId="500E8C2B" w14:textId="396E2437" w:rsidR="00490B71" w:rsidRPr="00E169E8" w:rsidRDefault="0058717F" w:rsidP="00490B71">
      <w:pPr>
        <w:pStyle w:val="NoteLevel1"/>
        <w:rPr>
          <w:rFonts w:asciiTheme="minorHAnsi" w:hAnsiTheme="minorHAnsi" w:cs="Times New Roman"/>
        </w:rPr>
      </w:pPr>
      <m:oMath>
        <m:d>
          <m:dPr>
            <m:begChr m:val="["/>
            <m:endChr m:val="]"/>
            <m:ctrlPr>
              <w:rPr>
                <w:rFonts w:ascii="Cambria Math" w:hAnsi="Cambria Math" w:cs="Times New Roman"/>
                <w:i/>
              </w:rPr>
            </m:ctrlPr>
          </m:dPr>
          <m:e>
            <m:r>
              <w:rPr>
                <w:rFonts w:ascii="Cambria Math" w:hAnsi="Cambria Math" w:cs="Times New Roman"/>
              </w:rPr>
              <m:t>4</m:t>
            </m:r>
          </m:e>
        </m:d>
        <m:r>
          <w:rPr>
            <w:rFonts w:ascii="Cambria Math" w:hAnsi="Cambria Math" w:cs="Times New Roman"/>
          </w:rPr>
          <m:t xml:space="preserve">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r</m:t>
                </m:r>
              </m:sub>
            </m:sSub>
          </m:e>
        </m:acc>
        <m:r>
          <w:rPr>
            <w:rFonts w:ascii="Cambria Math" w:hAnsi="Cambria Math" w:cs="Times New Roman"/>
          </w:rPr>
          <m:t xml:space="preserve">= </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Yes</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maybe</m:t>
                    </m:r>
                  </m:sub>
                </m:sSub>
                <m:r>
                  <w:rPr>
                    <w:rFonts w:ascii="Cambria Math" w:hAnsi="Cambria Math" w:cs="Times New Roman"/>
                  </w:rPr>
                  <m:t>*N</m:t>
                </m:r>
              </m:e>
              <m:sub>
                <m:r>
                  <w:rPr>
                    <w:rFonts w:ascii="Cambria Math" w:hAnsi="Cambria Math" w:cs="Times New Roman"/>
                  </w:rPr>
                  <m:t>Maybe</m:t>
                </m:r>
              </m:sub>
            </m:sSub>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Yes</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Maybe</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No</m:t>
                </m:r>
              </m:sub>
            </m:sSub>
          </m:den>
        </m:f>
      </m:oMath>
    </w:p>
    <w:p w14:paraId="0517D475" w14:textId="241FD970" w:rsidR="0031759C" w:rsidRPr="00E169E8" w:rsidRDefault="0058717F" w:rsidP="0031759C">
      <w:pPr>
        <w:pStyle w:val="NoteLevel1"/>
        <w:rPr>
          <w:rFonts w:asciiTheme="minorHAnsi" w:hAnsiTheme="minorHAnsi" w:cs="Times New Roman"/>
        </w:rPr>
      </w:pPr>
      <m:oMath>
        <m:d>
          <m:dPr>
            <m:begChr m:val="["/>
            <m:endChr m:val="]"/>
            <m:ctrlPr>
              <w:rPr>
                <w:rFonts w:ascii="Cambria Math" w:hAnsi="Cambria Math" w:cs="Times New Roman"/>
                <w:i/>
              </w:rPr>
            </m:ctrlPr>
          </m:dPr>
          <m:e>
            <m:r>
              <w:rPr>
                <w:rFonts w:ascii="Cambria Math" w:hAnsi="Cambria Math" w:cs="Times New Roman"/>
              </w:rPr>
              <m:t>5</m:t>
            </m:r>
          </m:e>
        </m:d>
        <m:r>
          <w:rPr>
            <w:rFonts w:ascii="Cambria Math" w:hAnsi="Cambria Math" w:cs="Times New Roman"/>
          </w:rPr>
          <m:t xml:space="preserve">    </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e>
        </m:acc>
        <m:r>
          <w:rPr>
            <w:rFonts w:ascii="Cambria Math" w:hAnsi="Cambria Math" w:cs="Times New Roman"/>
          </w:rPr>
          <m:t xml:space="preserve">= </m:t>
        </m:r>
        <m:rad>
          <m:radPr>
            <m:degHide m:val="1"/>
            <m:ctrlPr>
              <w:rPr>
                <w:rFonts w:ascii="Cambria Math" w:hAnsi="Cambria Math" w:cs="Times New Roman"/>
                <w:i/>
              </w:rPr>
            </m:ctrlPr>
          </m:radPr>
          <m:deg/>
          <m:e>
            <m:f>
              <m:fPr>
                <m:ctrlPr>
                  <w:rPr>
                    <w:rFonts w:ascii="Cambria Math" w:hAnsi="Cambria Math" w:cs="Times New Roman"/>
                    <w:i/>
                  </w:rPr>
                </m:ctrlPr>
              </m:fPr>
              <m:num>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r</m:t>
                        </m:r>
                      </m:sub>
                    </m:sSub>
                  </m:e>
                </m:acc>
                <m:r>
                  <w:rPr>
                    <w:rFonts w:ascii="Cambria Math" w:hAnsi="Cambria Math" w:cs="Times New Roman"/>
                  </w:rPr>
                  <m:t>*(1-</m:t>
                </m:r>
                <m:acc>
                  <m:accPr>
                    <m:chr m:val="̅"/>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r</m:t>
                        </m:r>
                      </m:sub>
                    </m:sSub>
                  </m:e>
                </m:acc>
                <m:r>
                  <w:rPr>
                    <w:rFonts w:ascii="Cambria Math" w:hAnsi="Cambria Math" w:cs="Times New Roman"/>
                  </w:rPr>
                  <m:t>)</m:t>
                </m:r>
              </m:num>
              <m:den>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Yes</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Maybe</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No</m:t>
                    </m:r>
                  </m:sub>
                </m:sSub>
              </m:den>
            </m:f>
          </m:e>
        </m:rad>
      </m:oMath>
    </w:p>
    <w:p w14:paraId="59243E9D" w14:textId="45DF9D04" w:rsidR="00490B71" w:rsidRDefault="00490B71" w:rsidP="00490B71">
      <w:pPr>
        <w:pStyle w:val="NoteLevel1"/>
        <w:numPr>
          <w:ilvl w:val="0"/>
          <w:numId w:val="0"/>
        </w:numPr>
        <w:rPr>
          <w:rFonts w:ascii="Times New Roman" w:hAnsi="Times New Roman" w:cs="Times New Roman"/>
        </w:rPr>
      </w:pPr>
    </w:p>
    <w:p w14:paraId="2E97800A" w14:textId="77777777" w:rsidR="0031759C" w:rsidRPr="008A2C01" w:rsidRDefault="0031759C" w:rsidP="00490B71">
      <w:pPr>
        <w:pStyle w:val="NoteLevel1"/>
        <w:numPr>
          <w:ilvl w:val="0"/>
          <w:numId w:val="0"/>
        </w:numPr>
        <w:rPr>
          <w:rFonts w:ascii="Times New Roman" w:hAnsi="Times New Roman" w:cs="Times New Roman"/>
        </w:rPr>
      </w:pPr>
    </w:p>
    <w:p w14:paraId="5E6176BC" w14:textId="353721D1" w:rsidR="00490B71" w:rsidRPr="00BA241A" w:rsidRDefault="00490B71" w:rsidP="00BA241A">
      <w:pPr>
        <w:pStyle w:val="NoteLevel1"/>
        <w:rPr>
          <w:rFonts w:ascii="Times New Roman" w:hAnsi="Times New Roman" w:cs="Times New Roman"/>
        </w:rPr>
      </w:pPr>
      <w:r w:rsidRPr="008A2C01">
        <w:rPr>
          <w:rFonts w:ascii="Times New Roman" w:hAnsi="Times New Roman" w:cs="Times New Roman"/>
        </w:rPr>
        <w:t xml:space="preserve">The </w:t>
      </w:r>
      <w:r w:rsidR="004B10E0">
        <w:rPr>
          <w:rFonts w:ascii="Times New Roman" w:hAnsi="Times New Roman" w:cs="Times New Roman"/>
        </w:rPr>
        <w:t xml:space="preserve">district-level </w:t>
      </w:r>
      <w:r>
        <w:rPr>
          <w:rFonts w:ascii="Times New Roman" w:hAnsi="Times New Roman" w:cs="Times New Roman"/>
        </w:rPr>
        <w:t xml:space="preserve">deworming coverage </w:t>
      </w:r>
      <w:r w:rsidR="004B10E0">
        <w:rPr>
          <w:rFonts w:ascii="Times New Roman" w:hAnsi="Times New Roman" w:cs="Times New Roman"/>
        </w:rPr>
        <w:t xml:space="preserve">estimates were </w:t>
      </w:r>
      <w:r>
        <w:rPr>
          <w:rFonts w:ascii="Times New Roman" w:hAnsi="Times New Roman" w:cs="Times New Roman"/>
        </w:rPr>
        <w:t>calculated as the proportion of total “Yes” and “Maybe”</w:t>
      </w:r>
      <w:r w:rsidR="004B10E0">
        <w:rPr>
          <w:rFonts w:ascii="Times New Roman" w:hAnsi="Times New Roman" w:cs="Times New Roman"/>
        </w:rPr>
        <w:t xml:space="preserve"> </w:t>
      </w:r>
      <w:r>
        <w:rPr>
          <w:rFonts w:ascii="Times New Roman" w:hAnsi="Times New Roman" w:cs="Times New Roman"/>
        </w:rPr>
        <w:t>responses</w:t>
      </w:r>
      <w:r w:rsidR="004B10E0">
        <w:rPr>
          <w:rFonts w:ascii="Times New Roman" w:hAnsi="Times New Roman" w:cs="Times New Roman"/>
        </w:rPr>
        <w:t xml:space="preserve"> (weighted by probability of deworming receipt, base case of +0.5)</w:t>
      </w:r>
      <w:r>
        <w:rPr>
          <w:rFonts w:ascii="Times New Roman" w:hAnsi="Times New Roman" w:cs="Times New Roman"/>
        </w:rPr>
        <w:t xml:space="preserve"> over all eligible responses for child deworming receipt confirmed within the recall period of an established deworming campaign’s start date.</w:t>
      </w:r>
      <w:r w:rsidR="00C76953">
        <w:rPr>
          <w:rFonts w:ascii="Times New Roman" w:hAnsi="Times New Roman" w:cs="Times New Roman"/>
        </w:rPr>
        <w:t xml:space="preserve"> </w:t>
      </w:r>
      <w:r w:rsidR="00980EF4">
        <w:rPr>
          <w:rFonts w:ascii="Times New Roman" w:hAnsi="Times New Roman" w:cs="Times New Roman"/>
        </w:rPr>
        <w:t xml:space="preserve">The standard deviation per district-level deworming coverage estimate was calculated assuming a binary distribution of responses. </w:t>
      </w:r>
      <w:r w:rsidR="00C76953">
        <w:rPr>
          <w:rFonts w:ascii="Times New Roman" w:hAnsi="Times New Roman" w:cs="Times New Roman"/>
        </w:rPr>
        <w:t>When calculating national-level deworming coverage</w:t>
      </w:r>
      <w:r w:rsidR="004B10E0">
        <w:rPr>
          <w:rFonts w:ascii="Times New Roman" w:hAnsi="Times New Roman" w:cs="Times New Roman"/>
        </w:rPr>
        <w:t xml:space="preserve"> and standard errors</w:t>
      </w:r>
      <w:r w:rsidR="00C76953">
        <w:rPr>
          <w:rFonts w:ascii="Times New Roman" w:hAnsi="Times New Roman" w:cs="Times New Roman"/>
        </w:rPr>
        <w:t>, DHS reported survey weights were incorporated.</w:t>
      </w:r>
    </w:p>
    <w:p w14:paraId="3D5C52C8" w14:textId="4D1F201E" w:rsidR="00947047" w:rsidRDefault="00947047" w:rsidP="000D1B10">
      <w:pPr>
        <w:pStyle w:val="NoteLevel1"/>
        <w:numPr>
          <w:ilvl w:val="0"/>
          <w:numId w:val="0"/>
        </w:numPr>
        <w:rPr>
          <w:rFonts w:ascii="Times New Roman" w:hAnsi="Times New Roman" w:cs="Times New Roman"/>
        </w:rPr>
      </w:pPr>
    </w:p>
    <w:p w14:paraId="6D3FA930" w14:textId="0FE2D428" w:rsidR="00B023C1" w:rsidRDefault="00490B71" w:rsidP="00490B71">
      <w:pPr>
        <w:pStyle w:val="NoteLevel1"/>
        <w:numPr>
          <w:ilvl w:val="0"/>
          <w:numId w:val="0"/>
        </w:numPr>
        <w:rPr>
          <w:rFonts w:ascii="Times New Roman" w:hAnsi="Times New Roman" w:cs="Times New Roman"/>
        </w:rPr>
      </w:pPr>
      <w:r>
        <w:rPr>
          <w:rFonts w:ascii="Times New Roman" w:hAnsi="Times New Roman" w:cs="Times New Roman"/>
        </w:rPr>
        <w:t xml:space="preserve">All analyses were programmed in R </w:t>
      </w:r>
      <w:r w:rsidR="007F4426">
        <w:rPr>
          <w:rFonts w:ascii="Times New Roman" w:hAnsi="Times New Roman" w:cs="Times New Roman"/>
        </w:rPr>
        <w:t xml:space="preserve">version </w:t>
      </w:r>
      <w:r>
        <w:rPr>
          <w:rFonts w:ascii="Times New Roman" w:hAnsi="Times New Roman" w:cs="Times New Roman"/>
        </w:rPr>
        <w:t>3.5.0</w:t>
      </w:r>
      <w:r w:rsidRPr="00E209CD">
        <w:rPr>
          <w:rFonts w:ascii="Times New Roman" w:hAnsi="Times New Roman" w:cs="Times New Roman"/>
        </w:rPr>
        <w:t xml:space="preserve"> (R Foundation for Statistical Computing; Vienna, Austria)</w:t>
      </w:r>
      <w:r w:rsidR="007F4426">
        <w:rPr>
          <w:rFonts w:ascii="Times New Roman" w:hAnsi="Times New Roman" w:cs="Times New Roman"/>
        </w:rPr>
        <w:t xml:space="preserve"> and conducted in Stata/IC version 15.1 (</w:t>
      </w:r>
      <w:proofErr w:type="spellStart"/>
      <w:r w:rsidR="007F4426">
        <w:rPr>
          <w:rFonts w:ascii="Times New Roman" w:hAnsi="Times New Roman" w:cs="Times New Roman"/>
        </w:rPr>
        <w:t>StataCorp</w:t>
      </w:r>
      <w:proofErr w:type="spellEnd"/>
      <w:r w:rsidR="007F4426">
        <w:rPr>
          <w:rFonts w:ascii="Times New Roman" w:hAnsi="Times New Roman" w:cs="Times New Roman"/>
        </w:rPr>
        <w:t xml:space="preserve"> LP; College Station, United States)</w:t>
      </w:r>
      <w:r w:rsidRPr="008A2C01">
        <w:rPr>
          <w:rFonts w:ascii="Times New Roman" w:hAnsi="Times New Roman" w:cs="Times New Roman"/>
        </w:rPr>
        <w:t xml:space="preserve">, </w:t>
      </w:r>
      <w:r>
        <w:rPr>
          <w:rFonts w:ascii="Times New Roman" w:hAnsi="Times New Roman" w:cs="Times New Roman"/>
        </w:rPr>
        <w:t xml:space="preserve">with the files and instructions for use available online (see main text reference to </w:t>
      </w:r>
      <w:proofErr w:type="spellStart"/>
      <w:r>
        <w:rPr>
          <w:rFonts w:ascii="Times New Roman" w:hAnsi="Times New Roman" w:cs="Times New Roman"/>
        </w:rPr>
        <w:t>Github</w:t>
      </w:r>
      <w:proofErr w:type="spellEnd"/>
      <w:r>
        <w:rPr>
          <w:rFonts w:ascii="Times New Roman" w:hAnsi="Times New Roman" w:cs="Times New Roman"/>
        </w:rPr>
        <w:t xml:space="preserve"> repository)</w:t>
      </w:r>
      <w:r w:rsidRPr="008A2C01">
        <w:rPr>
          <w:rFonts w:ascii="Times New Roman" w:hAnsi="Times New Roman" w:cs="Times New Roman"/>
        </w:rPr>
        <w:t>.</w:t>
      </w:r>
    </w:p>
    <w:p w14:paraId="077151CB" w14:textId="56093BA5" w:rsidR="00B023C1" w:rsidRDefault="00B023C1">
      <w:pPr>
        <w:rPr>
          <w:rFonts w:ascii="Times New Roman" w:hAnsi="Times New Roman" w:cs="Times New Roman"/>
        </w:rPr>
      </w:pPr>
    </w:p>
    <w:p w14:paraId="4DCC84E8" w14:textId="716BC411" w:rsidR="00DB5A52" w:rsidRPr="000C087D" w:rsidRDefault="00DB5A52" w:rsidP="00DB5A52">
      <w:pPr>
        <w:pStyle w:val="NoteLevel1"/>
        <w:rPr>
          <w:rFonts w:ascii="Times New Roman" w:hAnsi="Times New Roman" w:cs="Times New Roman"/>
          <w:i/>
          <w:iCs/>
          <w:u w:val="single"/>
        </w:rPr>
      </w:pPr>
      <w:r w:rsidRPr="000C087D">
        <w:rPr>
          <w:rFonts w:ascii="Times New Roman" w:hAnsi="Times New Roman" w:cs="Times New Roman"/>
          <w:i/>
          <w:iCs/>
          <w:u w:val="single"/>
        </w:rPr>
        <w:lastRenderedPageBreak/>
        <w:t>Additional descriptive results</w:t>
      </w:r>
    </w:p>
    <w:p w14:paraId="3A1389A7" w14:textId="77777777" w:rsidR="00DB5A52" w:rsidRPr="000C087D" w:rsidRDefault="00DB5A52" w:rsidP="00DB5A52">
      <w:pPr>
        <w:pStyle w:val="NoteLevel1"/>
        <w:rPr>
          <w:rFonts w:ascii="Times New Roman" w:hAnsi="Times New Roman" w:cs="Times New Roman"/>
        </w:rPr>
      </w:pPr>
      <w:r w:rsidRPr="000C087D">
        <w:rPr>
          <w:rFonts w:ascii="Times New Roman" w:hAnsi="Times New Roman" w:cs="Times New Roman"/>
        </w:rPr>
        <w:t xml:space="preserve">In Burundi, the mean district-level DHS sample based the base 6 month recall period was 526 pre-school aged children (range: N=393 in Bujumbura </w:t>
      </w:r>
      <w:proofErr w:type="spellStart"/>
      <w:r w:rsidRPr="000C087D">
        <w:rPr>
          <w:rFonts w:ascii="Times New Roman" w:hAnsi="Times New Roman" w:cs="Times New Roman"/>
        </w:rPr>
        <w:t>Mairie</w:t>
      </w:r>
      <w:proofErr w:type="spellEnd"/>
      <w:r w:rsidRPr="000C087D">
        <w:rPr>
          <w:rFonts w:ascii="Times New Roman" w:hAnsi="Times New Roman" w:cs="Times New Roman"/>
        </w:rPr>
        <w:t xml:space="preserve"> to N=647 in </w:t>
      </w:r>
      <w:proofErr w:type="spellStart"/>
      <w:r w:rsidRPr="000C087D">
        <w:rPr>
          <w:rFonts w:ascii="Times New Roman" w:hAnsi="Times New Roman" w:cs="Times New Roman"/>
        </w:rPr>
        <w:t>Muyinga</w:t>
      </w:r>
      <w:proofErr w:type="spellEnd"/>
      <w:r w:rsidRPr="000C087D">
        <w:rPr>
          <w:rFonts w:ascii="Times New Roman" w:hAnsi="Times New Roman" w:cs="Times New Roman"/>
        </w:rPr>
        <w:t xml:space="preserve">, see Figure 3) where a mean of 50.1% of children per district sampled were girls (range: 46.1% in Bujumbura </w:t>
      </w:r>
      <w:proofErr w:type="spellStart"/>
      <w:r w:rsidRPr="000C087D">
        <w:rPr>
          <w:rFonts w:ascii="Times New Roman" w:hAnsi="Times New Roman" w:cs="Times New Roman"/>
        </w:rPr>
        <w:t>Mairie</w:t>
      </w:r>
      <w:proofErr w:type="spellEnd"/>
      <w:r w:rsidRPr="000C087D">
        <w:rPr>
          <w:rFonts w:ascii="Times New Roman" w:hAnsi="Times New Roman" w:cs="Times New Roman"/>
        </w:rPr>
        <w:t xml:space="preserve"> to 54.2% in </w:t>
      </w:r>
      <w:proofErr w:type="spellStart"/>
      <w:r w:rsidRPr="000C087D">
        <w:rPr>
          <w:rFonts w:ascii="Times New Roman" w:hAnsi="Times New Roman" w:cs="Times New Roman"/>
        </w:rPr>
        <w:t>Mwaro</w:t>
      </w:r>
      <w:proofErr w:type="spellEnd"/>
      <w:r w:rsidRPr="000C087D">
        <w:rPr>
          <w:rFonts w:ascii="Times New Roman" w:hAnsi="Times New Roman" w:cs="Times New Roman"/>
        </w:rPr>
        <w:t xml:space="preserve">). In Myanmar, the mean district-level DHS sample size in the base case was 133 pre-school aged children (range: N= 99 in </w:t>
      </w:r>
      <w:proofErr w:type="spellStart"/>
      <w:r w:rsidRPr="000C087D">
        <w:rPr>
          <w:rFonts w:ascii="Times New Roman" w:hAnsi="Times New Roman" w:cs="Times New Roman"/>
        </w:rPr>
        <w:t>Sagaing</w:t>
      </w:r>
      <w:proofErr w:type="spellEnd"/>
      <w:r w:rsidRPr="000C087D">
        <w:rPr>
          <w:rFonts w:ascii="Times New Roman" w:hAnsi="Times New Roman" w:cs="Times New Roman"/>
        </w:rPr>
        <w:t xml:space="preserve"> to N=181 in Kayin) where a mean of 48.1% of children sampled per district were girls (range: 40.5% in </w:t>
      </w:r>
      <w:proofErr w:type="spellStart"/>
      <w:r w:rsidRPr="000C087D">
        <w:rPr>
          <w:rFonts w:ascii="Times New Roman" w:hAnsi="Times New Roman" w:cs="Times New Roman"/>
        </w:rPr>
        <w:t>Ayeyarwaddy</w:t>
      </w:r>
      <w:proofErr w:type="spellEnd"/>
      <w:r w:rsidRPr="000C087D">
        <w:rPr>
          <w:rFonts w:ascii="Times New Roman" w:hAnsi="Times New Roman" w:cs="Times New Roman"/>
        </w:rPr>
        <w:t xml:space="preserve"> to 53.0% in </w:t>
      </w:r>
      <w:proofErr w:type="spellStart"/>
      <w:r w:rsidRPr="000C087D">
        <w:rPr>
          <w:rFonts w:ascii="Times New Roman" w:hAnsi="Times New Roman" w:cs="Times New Roman"/>
        </w:rPr>
        <w:t>Taninthayi</w:t>
      </w:r>
      <w:proofErr w:type="spellEnd"/>
      <w:r w:rsidRPr="000C087D">
        <w:rPr>
          <w:rFonts w:ascii="Times New Roman" w:hAnsi="Times New Roman" w:cs="Times New Roman"/>
        </w:rPr>
        <w:t xml:space="preserve">) based on the sampling frame. In the Philippines, the mean district-level DHS sample size in the base case was 475 pre-school aged children (range: N= 252 in </w:t>
      </w:r>
      <w:proofErr w:type="spellStart"/>
      <w:r w:rsidRPr="000C087D">
        <w:rPr>
          <w:rFonts w:ascii="Times New Roman" w:hAnsi="Times New Roman" w:cs="Times New Roman"/>
        </w:rPr>
        <w:t>Ilocos</w:t>
      </w:r>
      <w:proofErr w:type="spellEnd"/>
      <w:r w:rsidRPr="000C087D">
        <w:rPr>
          <w:rFonts w:ascii="Times New Roman" w:hAnsi="Times New Roman" w:cs="Times New Roman"/>
        </w:rPr>
        <w:t xml:space="preserve"> to N=640 in Bangsamoro) where a mean of 47.4% of children sampled per district were girls (range: 44.1% in Cagayan Valley to 53.7% in Bicol). Based on a 6-month recall period, 58.8% of pre-school aged children in Burundi were eligible for exactly one deworming campaign with the remaining 41.2% eligible for two deworming campaigns. In Myanmar and the Philippines, all pre-school aged children were eligible for only one deworming campaign based on a 6-month recall period.</w:t>
      </w:r>
    </w:p>
    <w:p w14:paraId="61C9CB68" w14:textId="77777777" w:rsidR="00DB5A52" w:rsidRPr="000C087D" w:rsidRDefault="00DB5A52" w:rsidP="00B023C1">
      <w:pPr>
        <w:pStyle w:val="NoteLevel1"/>
        <w:rPr>
          <w:rFonts w:ascii="Times New Roman" w:hAnsi="Times New Roman" w:cs="Times New Roman"/>
        </w:rPr>
      </w:pPr>
    </w:p>
    <w:p w14:paraId="40A5DCD8" w14:textId="07805858" w:rsidR="00B023C1" w:rsidRPr="00431AC6" w:rsidRDefault="00B023C1" w:rsidP="00B023C1">
      <w:pPr>
        <w:pStyle w:val="NoteLevel1"/>
        <w:rPr>
          <w:rFonts w:ascii="Times New Roman" w:hAnsi="Times New Roman" w:cs="Times New Roman"/>
        </w:rPr>
      </w:pPr>
      <w:r>
        <w:rPr>
          <w:rFonts w:ascii="Times New Roman" w:hAnsi="Times New Roman" w:cs="Times New Roman"/>
          <w:i/>
          <w:u w:val="single"/>
        </w:rPr>
        <w:t xml:space="preserve">Lymphatic </w:t>
      </w:r>
      <w:r w:rsidR="00EE29BC">
        <w:rPr>
          <w:rFonts w:ascii="Times New Roman" w:hAnsi="Times New Roman" w:cs="Times New Roman"/>
          <w:i/>
          <w:u w:val="single"/>
        </w:rPr>
        <w:t>f</w:t>
      </w:r>
      <w:r>
        <w:rPr>
          <w:rFonts w:ascii="Times New Roman" w:hAnsi="Times New Roman" w:cs="Times New Roman"/>
          <w:i/>
          <w:u w:val="single"/>
        </w:rPr>
        <w:t xml:space="preserve">ilariasis </w:t>
      </w:r>
      <w:r w:rsidR="00EE29BC">
        <w:rPr>
          <w:rFonts w:ascii="Times New Roman" w:hAnsi="Times New Roman" w:cs="Times New Roman"/>
          <w:i/>
          <w:u w:val="single"/>
        </w:rPr>
        <w:t>sub-a</w:t>
      </w:r>
      <w:r>
        <w:rPr>
          <w:rFonts w:ascii="Times New Roman" w:hAnsi="Times New Roman" w:cs="Times New Roman"/>
          <w:i/>
          <w:u w:val="single"/>
        </w:rPr>
        <w:t>nalysis</w:t>
      </w:r>
    </w:p>
    <w:p w14:paraId="3E2003D4" w14:textId="57C262D2" w:rsidR="00490B71" w:rsidRPr="00F314C0" w:rsidRDefault="00DB5A52" w:rsidP="000D1B10">
      <w:pPr>
        <w:pStyle w:val="NoteLevel1"/>
        <w:numPr>
          <w:ilvl w:val="0"/>
          <w:numId w:val="0"/>
        </w:numPr>
        <w:rPr>
          <w:rFonts w:ascii="Times New Roman" w:hAnsi="Times New Roman" w:cs="Times New Roman"/>
        </w:rPr>
      </w:pPr>
      <w:r w:rsidRPr="00F314C0">
        <w:rPr>
          <w:rFonts w:ascii="Times New Roman" w:hAnsi="Times New Roman" w:cs="Times New Roman"/>
          <w:bCs/>
        </w:rPr>
        <w:t xml:space="preserve">To analyze the effects of albendazole receipt for deworming delivered outside of large scale programmatic treatment, also known as mass drug administration (MDA) campaigns that were only captured by the maternally-reported deworming DHS data, we </w:t>
      </w:r>
      <w:r>
        <w:rPr>
          <w:rFonts w:ascii="Times New Roman" w:hAnsi="Times New Roman" w:cs="Times New Roman"/>
          <w:bCs/>
        </w:rPr>
        <w:t xml:space="preserve">performed a sub-analysis assessing </w:t>
      </w:r>
      <w:r w:rsidRPr="00F314C0">
        <w:rPr>
          <w:rFonts w:ascii="Times New Roman" w:hAnsi="Times New Roman" w:cs="Times New Roman"/>
          <w:bCs/>
        </w:rPr>
        <w:t>the mean absolute difference in district-level coverage by data source stratified by presence of programmatic treatment for lymphatic filariasis, a proxy for other public health programs.</w:t>
      </w:r>
      <w:r>
        <w:rPr>
          <w:rFonts w:ascii="Times New Roman" w:hAnsi="Times New Roman" w:cs="Times New Roman"/>
          <w:bCs/>
        </w:rPr>
        <w:t xml:space="preserve"> </w:t>
      </w:r>
      <w:r w:rsidR="00B023C1" w:rsidRPr="00B023C1">
        <w:rPr>
          <w:rFonts w:ascii="Times New Roman" w:hAnsi="Times New Roman" w:cs="Times New Roman"/>
          <w:iCs/>
        </w:rPr>
        <w:t>We first categorized all included districts per country</w:t>
      </w:r>
      <w:r w:rsidR="004B10E0">
        <w:rPr>
          <w:rFonts w:ascii="Times New Roman" w:hAnsi="Times New Roman" w:cs="Times New Roman"/>
          <w:iCs/>
        </w:rPr>
        <w:t xml:space="preserve"> endemic to lymphatic filariasis during the observed deworming timeframe</w:t>
      </w:r>
      <w:r w:rsidR="00B023C1" w:rsidRPr="00B023C1">
        <w:rPr>
          <w:rFonts w:ascii="Times New Roman" w:hAnsi="Times New Roman" w:cs="Times New Roman"/>
          <w:iCs/>
        </w:rPr>
        <w:t xml:space="preserve"> by level of endemicity to </w:t>
      </w:r>
      <w:r w:rsidR="00EE29BC">
        <w:rPr>
          <w:rFonts w:ascii="Times New Roman" w:hAnsi="Times New Roman" w:cs="Times New Roman"/>
          <w:iCs/>
        </w:rPr>
        <w:t>lymphatic filariasis</w:t>
      </w:r>
      <w:r w:rsidR="00B023C1" w:rsidRPr="00B023C1">
        <w:rPr>
          <w:rFonts w:ascii="Times New Roman" w:hAnsi="Times New Roman" w:cs="Times New Roman"/>
          <w:iCs/>
        </w:rPr>
        <w:t>, using data provided by WHO on presence of sub-district</w:t>
      </w:r>
      <w:r w:rsidR="004B10E0">
        <w:rPr>
          <w:rFonts w:ascii="Times New Roman" w:hAnsi="Times New Roman" w:cs="Times New Roman"/>
          <w:iCs/>
        </w:rPr>
        <w:t>-level</w:t>
      </w:r>
      <w:r w:rsidR="00B023C1" w:rsidRPr="00B023C1">
        <w:rPr>
          <w:rFonts w:ascii="Times New Roman" w:hAnsi="Times New Roman" w:cs="Times New Roman"/>
          <w:iCs/>
        </w:rPr>
        <w:t xml:space="preserve"> (administrative level II)</w:t>
      </w:r>
      <w:r w:rsidR="001F5E0B" w:rsidRPr="00B023C1" w:rsidDel="001F5E0B">
        <w:rPr>
          <w:rFonts w:ascii="Times New Roman" w:hAnsi="Times New Roman" w:cs="Times New Roman"/>
          <w:iCs/>
        </w:rPr>
        <w:t xml:space="preserve"> </w:t>
      </w:r>
      <w:r w:rsidR="00B023C1" w:rsidRPr="00B023C1">
        <w:rPr>
          <w:rFonts w:ascii="Times New Roman" w:hAnsi="Times New Roman" w:cs="Times New Roman"/>
          <w:iCs/>
        </w:rPr>
        <w:t xml:space="preserve">treatment </w:t>
      </w:r>
      <w:r w:rsidR="00B023C1" w:rsidRPr="00F314C0">
        <w:rPr>
          <w:rFonts w:ascii="Times New Roman" w:hAnsi="Times New Roman" w:cs="Times New Roman"/>
          <w:iCs/>
        </w:rPr>
        <w:t xml:space="preserve">campaigns. </w:t>
      </w:r>
      <w:r w:rsidR="001F5E0B" w:rsidRPr="00F314C0">
        <w:rPr>
          <w:rFonts w:ascii="Times New Roman" w:hAnsi="Times New Roman" w:cs="Times New Roman"/>
          <w:iCs/>
        </w:rPr>
        <w:t xml:space="preserve">We stratify districts using three definitions to lymphatic filariasis endemicity. </w:t>
      </w:r>
      <w:r w:rsidR="00B023C1" w:rsidRPr="00F314C0">
        <w:rPr>
          <w:rFonts w:ascii="Times New Roman" w:hAnsi="Times New Roman" w:cs="Times New Roman"/>
          <w:iCs/>
        </w:rPr>
        <w:t xml:space="preserve">Districts were first stratified by whether 50% of sub-districts received </w:t>
      </w:r>
      <w:r w:rsidR="00EE29BC" w:rsidRPr="00F314C0">
        <w:rPr>
          <w:rFonts w:ascii="Times New Roman" w:hAnsi="Times New Roman" w:cs="Times New Roman"/>
          <w:iCs/>
        </w:rPr>
        <w:t>lymphatic filariasis</w:t>
      </w:r>
      <w:r w:rsidR="001F5E0B" w:rsidRPr="00F314C0">
        <w:rPr>
          <w:rFonts w:ascii="Times New Roman" w:hAnsi="Times New Roman" w:cs="Times New Roman"/>
          <w:iCs/>
        </w:rPr>
        <w:t xml:space="preserve"> </w:t>
      </w:r>
      <w:r w:rsidR="00B023C1" w:rsidRPr="00F314C0">
        <w:rPr>
          <w:rFonts w:ascii="Times New Roman" w:hAnsi="Times New Roman" w:cs="Times New Roman"/>
          <w:iCs/>
        </w:rPr>
        <w:t xml:space="preserve">treatment. Second, districts were binned by percent of sub-districts receiving </w:t>
      </w:r>
      <w:r w:rsidR="00EE29BC" w:rsidRPr="00F314C0">
        <w:rPr>
          <w:rFonts w:ascii="Times New Roman" w:hAnsi="Times New Roman" w:cs="Times New Roman"/>
          <w:iCs/>
        </w:rPr>
        <w:t>lymphatic filariasis</w:t>
      </w:r>
      <w:r w:rsidR="001F5E0B" w:rsidRPr="00F314C0">
        <w:rPr>
          <w:rFonts w:ascii="Times New Roman" w:hAnsi="Times New Roman" w:cs="Times New Roman"/>
          <w:iCs/>
        </w:rPr>
        <w:t xml:space="preserve"> </w:t>
      </w:r>
      <w:r w:rsidR="00B023C1" w:rsidRPr="00F314C0">
        <w:rPr>
          <w:rFonts w:ascii="Times New Roman" w:hAnsi="Times New Roman" w:cs="Times New Roman"/>
          <w:iCs/>
        </w:rPr>
        <w:t xml:space="preserve">treatment (0%, 1-50%, 51-99%, 100%). </w:t>
      </w:r>
      <w:r w:rsidR="001F5E0B" w:rsidRPr="00F314C0">
        <w:rPr>
          <w:rFonts w:ascii="Times New Roman" w:hAnsi="Times New Roman" w:cs="Times New Roman"/>
          <w:iCs/>
        </w:rPr>
        <w:t xml:space="preserve">Finally, districts were stratified by whether any of their sub-districts received lymphatic filariasis treatment. </w:t>
      </w:r>
      <w:r w:rsidR="00660F9C" w:rsidRPr="00F314C0">
        <w:rPr>
          <w:rFonts w:ascii="Times New Roman" w:hAnsi="Times New Roman" w:cs="Times New Roman"/>
          <w:iCs/>
        </w:rPr>
        <w:t>As treatment for lymphatic filariasis is only recommended for children 2 years of age and older, we only include DHS deworming data for pre-school aged children of 2-4 years</w:t>
      </w:r>
      <w:r w:rsidR="00B10D40" w:rsidRPr="00F314C0">
        <w:rPr>
          <w:rFonts w:ascii="Times New Roman" w:hAnsi="Times New Roman" w:cs="Times New Roman"/>
          <w:iCs/>
        </w:rPr>
        <w:t xml:space="preserve"> in age</w:t>
      </w:r>
      <w:r w:rsidR="00980EF4">
        <w:rPr>
          <w:rFonts w:ascii="Times New Roman" w:hAnsi="Times New Roman" w:cs="Times New Roman"/>
          <w:iCs/>
        </w:rPr>
        <w:t xml:space="preserve"> at time of </w:t>
      </w:r>
      <w:r>
        <w:rPr>
          <w:rFonts w:ascii="Times New Roman" w:hAnsi="Times New Roman" w:cs="Times New Roman"/>
          <w:iCs/>
        </w:rPr>
        <w:t>deworming</w:t>
      </w:r>
      <w:r w:rsidR="00660F9C" w:rsidRPr="00F314C0">
        <w:rPr>
          <w:rFonts w:ascii="Times New Roman" w:hAnsi="Times New Roman" w:cs="Times New Roman"/>
          <w:iCs/>
        </w:rPr>
        <w:t xml:space="preserve">. </w:t>
      </w:r>
      <w:r w:rsidR="00B023C1" w:rsidRPr="00F314C0">
        <w:rPr>
          <w:rFonts w:ascii="Times New Roman" w:hAnsi="Times New Roman" w:cs="Times New Roman"/>
          <w:iCs/>
        </w:rPr>
        <w:t>For each stratification method, we calculated the mean</w:t>
      </w:r>
      <w:r w:rsidR="001F5E0B" w:rsidRPr="00F314C0">
        <w:rPr>
          <w:rFonts w:ascii="Times New Roman" w:hAnsi="Times New Roman" w:cs="Times New Roman"/>
          <w:iCs/>
        </w:rPr>
        <w:t xml:space="preserve"> absolute difference in</w:t>
      </w:r>
      <w:r w:rsidR="00B023C1" w:rsidRPr="00F314C0">
        <w:rPr>
          <w:rFonts w:ascii="Times New Roman" w:hAnsi="Times New Roman" w:cs="Times New Roman"/>
          <w:iCs/>
        </w:rPr>
        <w:t xml:space="preserve"> district-level deworming coverage between data sources and </w:t>
      </w:r>
      <w:r w:rsidR="001F5E0B" w:rsidRPr="00F314C0">
        <w:rPr>
          <w:rFonts w:ascii="Times New Roman" w:hAnsi="Times New Roman" w:cs="Times New Roman"/>
          <w:iCs/>
        </w:rPr>
        <w:t xml:space="preserve">the respective </w:t>
      </w:r>
      <w:r w:rsidR="00B023C1" w:rsidRPr="00F314C0">
        <w:rPr>
          <w:rFonts w:ascii="Times New Roman" w:hAnsi="Times New Roman" w:cs="Times New Roman"/>
          <w:iCs/>
        </w:rPr>
        <w:t>standard deviation per strata and country of analysis.</w:t>
      </w:r>
    </w:p>
    <w:p w14:paraId="1337B864" w14:textId="77777777" w:rsidR="00F314C0" w:rsidRPr="00F314C0" w:rsidRDefault="00F314C0" w:rsidP="00F314C0">
      <w:pPr>
        <w:pStyle w:val="NoteLevel1"/>
        <w:numPr>
          <w:ilvl w:val="0"/>
          <w:numId w:val="0"/>
        </w:numPr>
        <w:rPr>
          <w:rFonts w:ascii="Times New Roman" w:hAnsi="Times New Roman" w:cs="Times New Roman"/>
          <w:iCs/>
        </w:rPr>
      </w:pPr>
    </w:p>
    <w:p w14:paraId="10B4E80E" w14:textId="10DB754D" w:rsidR="00F314C0" w:rsidRPr="00F314C0" w:rsidRDefault="00F314C0" w:rsidP="00F314C0">
      <w:pPr>
        <w:rPr>
          <w:rFonts w:ascii="Times New Roman" w:hAnsi="Times New Roman" w:cs="Times New Roman"/>
          <w:bCs/>
        </w:rPr>
      </w:pPr>
      <w:r w:rsidRPr="00F314C0">
        <w:rPr>
          <w:rFonts w:ascii="Times New Roman" w:hAnsi="Times New Roman" w:cs="Times New Roman"/>
          <w:bCs/>
        </w:rPr>
        <w:t xml:space="preserve">We performed the analysis in the countries endemic to lymphatic filariasis at the time of analysis, Myanmar and the Philippines. In Myanmar we estimated a mean difference in district-level deworming coverage between data sources of 43.9% in districts endemic to lymphatic filariasis (districts with any level of lymphatic filariasis treatment programs implemented), and 17.3% in non-endemic districts, although </w:t>
      </w:r>
      <w:r w:rsidR="00DB5A52">
        <w:rPr>
          <w:rFonts w:ascii="Times New Roman" w:hAnsi="Times New Roman" w:cs="Times New Roman"/>
          <w:bCs/>
        </w:rPr>
        <w:t xml:space="preserve">this was </w:t>
      </w:r>
      <w:r w:rsidRPr="00F314C0">
        <w:rPr>
          <w:rFonts w:ascii="Times New Roman" w:hAnsi="Times New Roman" w:cs="Times New Roman"/>
          <w:bCs/>
        </w:rPr>
        <w:t xml:space="preserve">limited by </w:t>
      </w:r>
      <w:r w:rsidR="00DB5A52">
        <w:rPr>
          <w:rFonts w:ascii="Times New Roman" w:hAnsi="Times New Roman" w:cs="Times New Roman"/>
          <w:bCs/>
        </w:rPr>
        <w:t>the limited</w:t>
      </w:r>
      <w:r w:rsidR="00DB5A52" w:rsidRPr="00F314C0">
        <w:rPr>
          <w:rFonts w:ascii="Times New Roman" w:hAnsi="Times New Roman" w:cs="Times New Roman"/>
          <w:bCs/>
        </w:rPr>
        <w:t xml:space="preserve"> </w:t>
      </w:r>
      <w:r w:rsidRPr="00F314C0">
        <w:rPr>
          <w:rFonts w:ascii="Times New Roman" w:hAnsi="Times New Roman" w:cs="Times New Roman"/>
          <w:bCs/>
        </w:rPr>
        <w:t>number of non-endemic districts (See Appendix). In the Philippines, we estimated a mean difference in district-level deworming coverage between data sources of 22.5% in districts endemic to lymphatic filariasis and 21.9% in non-endemic districts.</w:t>
      </w:r>
    </w:p>
    <w:p w14:paraId="0737243A" w14:textId="1AD299A2" w:rsidR="00F314C0" w:rsidRDefault="00F314C0" w:rsidP="00F314C0">
      <w:pPr>
        <w:rPr>
          <w:rFonts w:ascii="Times New Roman" w:hAnsi="Times New Roman" w:cs="Times New Roman"/>
          <w:bCs/>
        </w:rPr>
      </w:pPr>
    </w:p>
    <w:p w14:paraId="25CDFCDF" w14:textId="19B8474C" w:rsidR="00DB5A52" w:rsidRPr="00F314C0" w:rsidRDefault="00DB5A52" w:rsidP="00DB5A52">
      <w:pPr>
        <w:pStyle w:val="NoteLevel1"/>
        <w:numPr>
          <w:ilvl w:val="0"/>
          <w:numId w:val="0"/>
        </w:numPr>
        <w:rPr>
          <w:rFonts w:ascii="Times New Roman" w:hAnsi="Times New Roman" w:cs="Times New Roman"/>
          <w:i/>
          <w:u w:val="single"/>
        </w:rPr>
      </w:pPr>
      <w:r>
        <w:rPr>
          <w:rFonts w:ascii="Times New Roman" w:hAnsi="Times New Roman" w:cs="Times New Roman"/>
          <w:i/>
          <w:u w:val="single"/>
        </w:rPr>
        <w:t>Additional s</w:t>
      </w:r>
      <w:r w:rsidRPr="00F314C0">
        <w:rPr>
          <w:rFonts w:ascii="Times New Roman" w:hAnsi="Times New Roman" w:cs="Times New Roman"/>
          <w:i/>
          <w:u w:val="single"/>
        </w:rPr>
        <w:t>ensitivity analyses</w:t>
      </w:r>
    </w:p>
    <w:p w14:paraId="1C5C8E5B" w14:textId="77777777" w:rsidR="00DB5A52" w:rsidRPr="00F314C0" w:rsidRDefault="00DB5A52" w:rsidP="00F314C0">
      <w:pPr>
        <w:rPr>
          <w:rFonts w:ascii="Times New Roman" w:hAnsi="Times New Roman" w:cs="Times New Roman"/>
          <w:bCs/>
        </w:rPr>
      </w:pPr>
    </w:p>
    <w:p w14:paraId="69756EF4" w14:textId="69DE2445" w:rsidR="00F314C0" w:rsidRPr="00F314C0" w:rsidRDefault="00F314C0" w:rsidP="00F314C0">
      <w:pPr>
        <w:rPr>
          <w:rFonts w:ascii="Times New Roman" w:hAnsi="Times New Roman" w:cs="Times New Roman"/>
          <w:bCs/>
        </w:rPr>
      </w:pPr>
      <w:r w:rsidRPr="00F314C0">
        <w:rPr>
          <w:rFonts w:ascii="Times New Roman" w:hAnsi="Times New Roman" w:cs="Times New Roman"/>
          <w:bCs/>
        </w:rPr>
        <w:lastRenderedPageBreak/>
        <w:t xml:space="preserve">We </w:t>
      </w:r>
      <w:r w:rsidR="00FA2AEC">
        <w:rPr>
          <w:rFonts w:ascii="Times New Roman" w:hAnsi="Times New Roman" w:cs="Times New Roman"/>
          <w:bCs/>
        </w:rPr>
        <w:t>varied</w:t>
      </w:r>
      <w:r w:rsidRPr="00F314C0">
        <w:rPr>
          <w:rFonts w:ascii="Times New Roman" w:hAnsi="Times New Roman" w:cs="Times New Roman"/>
          <w:bCs/>
        </w:rPr>
        <w:t xml:space="preserve"> the data reliability threshold used to exclude WHO reported campaigns. In Burundi, varying the data reliability threshold from excluding campaigns reporting &gt;90% coverage to &gt;100% (not excluding campaigns based on coverage) increased the number of included districts from 13 to 18 out of 18 districts, and increased the mean absolute difference in district-level coverage from 8.7% to 16.7%. In Myanmar, varying the data reliability threshold increased the number of included districts from 2 to 14 out of 15 districts, and the mean absolute difference in district-level coverage from 23.3% to 41.7%. In the Philippines, varying the data reliability threshold increased the number of included districts from 13 to 17 out of 17 districts, and increased the mean absolute difference in district-level coverage from 18.7% to 24.6%. </w:t>
      </w:r>
    </w:p>
    <w:p w14:paraId="592E7515" w14:textId="77777777" w:rsidR="00F314C0" w:rsidRPr="00F314C0" w:rsidRDefault="00F314C0" w:rsidP="00F314C0">
      <w:pPr>
        <w:rPr>
          <w:rFonts w:ascii="Times New Roman" w:hAnsi="Times New Roman" w:cs="Times New Roman"/>
          <w:bCs/>
        </w:rPr>
      </w:pPr>
    </w:p>
    <w:p w14:paraId="664E9CCA" w14:textId="77777777" w:rsidR="00F314C0" w:rsidRPr="00F314C0" w:rsidRDefault="00F314C0" w:rsidP="00F314C0">
      <w:pPr>
        <w:rPr>
          <w:rFonts w:ascii="Times New Roman" w:hAnsi="Times New Roman" w:cs="Times New Roman"/>
          <w:bCs/>
          <w:i/>
          <w:iCs/>
          <w:u w:val="single"/>
        </w:rPr>
      </w:pPr>
      <w:r w:rsidRPr="00F314C0">
        <w:rPr>
          <w:rFonts w:ascii="Times New Roman" w:hAnsi="Times New Roman" w:cs="Times New Roman"/>
          <w:bCs/>
          <w:i/>
          <w:iCs/>
          <w:u w:val="single"/>
        </w:rPr>
        <w:t xml:space="preserve">Limitations </w:t>
      </w:r>
    </w:p>
    <w:p w14:paraId="00B29562" w14:textId="70E1DC61" w:rsidR="00AF1EE2" w:rsidRDefault="00F314C0" w:rsidP="00F314C0">
      <w:pPr>
        <w:rPr>
          <w:rFonts w:ascii="Times New Roman" w:hAnsi="Times New Roman" w:cs="Times New Roman"/>
          <w:b/>
        </w:rPr>
      </w:pPr>
      <w:r w:rsidRPr="00F314C0">
        <w:rPr>
          <w:rFonts w:ascii="Times New Roman" w:hAnsi="Times New Roman" w:cs="Times New Roman"/>
        </w:rPr>
        <w:t xml:space="preserve">The study results should be taken in context with the limitations of the data and assumptions of the analysis. DHS data relied on maternally-reported child deworming receipt, which is subject to recall bias as discussed above. The deworming coverage estimates reported to WHO are estimated using reported pre-school age children populations at risk, although this value is subject to annual fluctuation and inaccuracies in estimation due to within-country migration and measurement concerns. Additionally, as deworming data stratified by child gender were not made available to WHO, no further comparison could be made to gender-stratified coverage estimated by DHS data to assess compatibility for future gender parity analyses. The DHS responses are collected over a </w:t>
      </w:r>
      <w:proofErr w:type="gramStart"/>
      <w:r w:rsidRPr="00F314C0">
        <w:rPr>
          <w:rFonts w:ascii="Times New Roman" w:hAnsi="Times New Roman" w:cs="Times New Roman"/>
        </w:rPr>
        <w:t>3-9 month</w:t>
      </w:r>
      <w:proofErr w:type="gramEnd"/>
      <w:r w:rsidRPr="00F314C0">
        <w:rPr>
          <w:rFonts w:ascii="Times New Roman" w:hAnsi="Times New Roman" w:cs="Times New Roman"/>
        </w:rPr>
        <w:t xml:space="preserve"> period, which may not necessarily overlap with any deworming campaigns, especially in countries with annual deworming or if DHS data are collected during a year with an atypical deworming program implementation. In theory, this could result in under-estimating deworming coverage, although this concern could be mitigated by use of WHO records to identify deworming campaign timelines by country and restricting incorporation of DHS data accordingly.</w:t>
      </w:r>
      <w:r>
        <w:t xml:space="preserve"> </w:t>
      </w:r>
      <w:r w:rsidR="00AF1EE2">
        <w:rPr>
          <w:rFonts w:ascii="Times New Roman" w:hAnsi="Times New Roman" w:cs="Times New Roman"/>
          <w:b/>
        </w:rPr>
        <w:br w:type="page"/>
      </w:r>
    </w:p>
    <w:p w14:paraId="544C96D9" w14:textId="65F251DF" w:rsidR="00AF1EE2" w:rsidRDefault="00AF1EE2" w:rsidP="00AF1EE2">
      <w:pPr>
        <w:rPr>
          <w:rFonts w:ascii="Times New Roman" w:hAnsi="Times New Roman" w:cs="Times New Roman"/>
          <w:b/>
        </w:rPr>
      </w:pPr>
      <w:r w:rsidRPr="00BF62A9">
        <w:rPr>
          <w:rFonts w:ascii="Times New Roman" w:hAnsi="Times New Roman" w:cs="Times New Roman"/>
          <w:b/>
        </w:rPr>
        <w:lastRenderedPageBreak/>
        <w:t xml:space="preserve">Table </w:t>
      </w:r>
      <w:r>
        <w:rPr>
          <w:rFonts w:ascii="Times New Roman" w:hAnsi="Times New Roman" w:cs="Times New Roman"/>
          <w:b/>
        </w:rPr>
        <w:t>A</w:t>
      </w:r>
      <w:r w:rsidRPr="00BF62A9">
        <w:rPr>
          <w:rFonts w:ascii="Times New Roman" w:hAnsi="Times New Roman" w:cs="Times New Roman"/>
          <w:b/>
        </w:rPr>
        <w:t xml:space="preserve">1: </w:t>
      </w:r>
      <w:r>
        <w:rPr>
          <w:rFonts w:ascii="Times New Roman" w:hAnsi="Times New Roman" w:cs="Times New Roman"/>
          <w:b/>
        </w:rPr>
        <w:t xml:space="preserve">DHS-VI survey questions </w:t>
      </w:r>
      <w:r w:rsidR="00BA241A">
        <w:rPr>
          <w:rFonts w:ascii="Times New Roman" w:hAnsi="Times New Roman" w:cs="Times New Roman"/>
          <w:b/>
        </w:rPr>
        <w:t>in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709"/>
        <w:gridCol w:w="4321"/>
      </w:tblGrid>
      <w:tr w:rsidR="00AF1EE2" w:rsidRPr="006A7F23" w14:paraId="23E3BD5E" w14:textId="77777777" w:rsidTr="00AF1EE2">
        <w:tc>
          <w:tcPr>
            <w:tcW w:w="2520" w:type="dxa"/>
            <w:tcBorders>
              <w:top w:val="single" w:sz="4" w:space="0" w:color="auto"/>
              <w:bottom w:val="single" w:sz="4" w:space="0" w:color="auto"/>
            </w:tcBorders>
            <w:shd w:val="clear" w:color="auto" w:fill="D9D9D9" w:themeFill="background1" w:themeFillShade="D9"/>
          </w:tcPr>
          <w:p w14:paraId="1943E597" w14:textId="69038AA8" w:rsidR="00AF1EE2" w:rsidRPr="006A7F23" w:rsidRDefault="00AF1EE2" w:rsidP="00D913D4">
            <w:pPr>
              <w:pStyle w:val="NoteLevel1"/>
              <w:numPr>
                <w:ilvl w:val="0"/>
                <w:numId w:val="0"/>
              </w:numPr>
              <w:rPr>
                <w:rFonts w:ascii="Times New Roman" w:hAnsi="Times New Roman"/>
                <w:b/>
                <w:sz w:val="22"/>
                <w:szCs w:val="22"/>
              </w:rPr>
            </w:pPr>
            <w:r>
              <w:rPr>
                <w:rFonts w:ascii="Times New Roman" w:hAnsi="Times New Roman"/>
                <w:b/>
                <w:sz w:val="22"/>
                <w:szCs w:val="22"/>
              </w:rPr>
              <w:t>Variable</w:t>
            </w:r>
          </w:p>
        </w:tc>
        <w:tc>
          <w:tcPr>
            <w:tcW w:w="1709" w:type="dxa"/>
            <w:tcBorders>
              <w:top w:val="single" w:sz="4" w:space="0" w:color="auto"/>
              <w:bottom w:val="single" w:sz="4" w:space="0" w:color="auto"/>
            </w:tcBorders>
            <w:shd w:val="clear" w:color="auto" w:fill="D9D9D9" w:themeFill="background1" w:themeFillShade="D9"/>
          </w:tcPr>
          <w:p w14:paraId="091704EA" w14:textId="4AEE8DAB" w:rsidR="00AF1EE2" w:rsidRPr="006A7F23" w:rsidRDefault="00AF1EE2" w:rsidP="00D913D4">
            <w:pPr>
              <w:pStyle w:val="NoteLevel1"/>
              <w:numPr>
                <w:ilvl w:val="0"/>
                <w:numId w:val="0"/>
              </w:numPr>
              <w:jc w:val="center"/>
              <w:rPr>
                <w:rFonts w:ascii="Times New Roman" w:hAnsi="Times New Roman"/>
                <w:b/>
                <w:sz w:val="22"/>
                <w:szCs w:val="22"/>
              </w:rPr>
            </w:pPr>
            <w:r>
              <w:rPr>
                <w:rFonts w:ascii="Times New Roman" w:hAnsi="Times New Roman"/>
                <w:b/>
                <w:sz w:val="22"/>
                <w:szCs w:val="22"/>
              </w:rPr>
              <w:t>Question code</w:t>
            </w:r>
          </w:p>
        </w:tc>
        <w:tc>
          <w:tcPr>
            <w:tcW w:w="4321" w:type="dxa"/>
            <w:tcBorders>
              <w:top w:val="single" w:sz="4" w:space="0" w:color="auto"/>
              <w:bottom w:val="single" w:sz="4" w:space="0" w:color="auto"/>
            </w:tcBorders>
            <w:shd w:val="clear" w:color="auto" w:fill="D9D9D9" w:themeFill="background1" w:themeFillShade="D9"/>
          </w:tcPr>
          <w:p w14:paraId="2EC8C808" w14:textId="5E7FED21" w:rsidR="00AF1EE2" w:rsidRPr="006A7F23" w:rsidRDefault="00AF1EE2" w:rsidP="00D913D4">
            <w:pPr>
              <w:pStyle w:val="NoteLevel1"/>
              <w:numPr>
                <w:ilvl w:val="0"/>
                <w:numId w:val="0"/>
              </w:numPr>
              <w:jc w:val="center"/>
              <w:rPr>
                <w:rFonts w:ascii="Times New Roman" w:hAnsi="Times New Roman"/>
                <w:b/>
                <w:sz w:val="22"/>
                <w:szCs w:val="22"/>
              </w:rPr>
            </w:pPr>
            <w:r>
              <w:rPr>
                <w:rFonts w:ascii="Times New Roman" w:hAnsi="Times New Roman"/>
                <w:b/>
                <w:sz w:val="22"/>
                <w:szCs w:val="22"/>
              </w:rPr>
              <w:t>Question phrasing</w:t>
            </w:r>
          </w:p>
        </w:tc>
      </w:tr>
      <w:tr w:rsidR="00AF1EE2" w14:paraId="072070E3" w14:textId="77777777" w:rsidTr="00AF1EE2">
        <w:tc>
          <w:tcPr>
            <w:tcW w:w="2520" w:type="dxa"/>
            <w:tcBorders>
              <w:top w:val="single" w:sz="4" w:space="0" w:color="auto"/>
            </w:tcBorders>
            <w:shd w:val="clear" w:color="auto" w:fill="F2F2F2" w:themeFill="background1" w:themeFillShade="F2"/>
            <w:vAlign w:val="center"/>
          </w:tcPr>
          <w:p w14:paraId="72E47E89" w14:textId="356B1BCA" w:rsidR="00AF1EE2" w:rsidRPr="00C331A7" w:rsidRDefault="00AF1EE2" w:rsidP="00AF1EE2">
            <w:pPr>
              <w:pStyle w:val="NoteLevel1"/>
              <w:numPr>
                <w:ilvl w:val="0"/>
                <w:numId w:val="0"/>
              </w:numPr>
              <w:jc w:val="center"/>
              <w:rPr>
                <w:rFonts w:ascii="Times New Roman" w:hAnsi="Times New Roman"/>
                <w:sz w:val="22"/>
                <w:szCs w:val="22"/>
              </w:rPr>
            </w:pPr>
            <w:r>
              <w:rPr>
                <w:rFonts w:ascii="Times New Roman" w:eastAsia="Times New Roman" w:hAnsi="Times New Roman" w:cs="Times New Roman"/>
                <w:bCs/>
                <w:color w:val="000000"/>
                <w:sz w:val="22"/>
                <w:szCs w:val="22"/>
              </w:rPr>
              <w:t>Age</w:t>
            </w:r>
          </w:p>
        </w:tc>
        <w:tc>
          <w:tcPr>
            <w:tcW w:w="1709" w:type="dxa"/>
            <w:tcBorders>
              <w:top w:val="single" w:sz="4" w:space="0" w:color="auto"/>
            </w:tcBorders>
            <w:shd w:val="clear" w:color="auto" w:fill="F2F2F2" w:themeFill="background1" w:themeFillShade="F2"/>
            <w:vAlign w:val="center"/>
          </w:tcPr>
          <w:p w14:paraId="42D7413C" w14:textId="4D00F815" w:rsidR="00AF1EE2" w:rsidRPr="001A5CAF" w:rsidRDefault="00AF1EE2" w:rsidP="00AF1EE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HW1</w:t>
            </w:r>
            <w:r w:rsidR="00781BCB">
              <w:rPr>
                <w:rFonts w:ascii="Times New Roman" w:hAnsi="Times New Roman" w:cs="Times New Roman"/>
                <w:sz w:val="22"/>
                <w:szCs w:val="22"/>
              </w:rPr>
              <w:t xml:space="preserve"> or B19</w:t>
            </w:r>
          </w:p>
        </w:tc>
        <w:tc>
          <w:tcPr>
            <w:tcW w:w="4321" w:type="dxa"/>
            <w:tcBorders>
              <w:top w:val="single" w:sz="4" w:space="0" w:color="auto"/>
            </w:tcBorders>
            <w:shd w:val="clear" w:color="auto" w:fill="F2F2F2" w:themeFill="background1" w:themeFillShade="F2"/>
            <w:vAlign w:val="center"/>
          </w:tcPr>
          <w:p w14:paraId="56EE7130" w14:textId="13BE4B5C" w:rsidR="00AF1EE2" w:rsidRPr="001A5CAF" w:rsidRDefault="00AF1EE2" w:rsidP="00AF1EE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Age in months of the child</w:t>
            </w:r>
          </w:p>
        </w:tc>
      </w:tr>
      <w:tr w:rsidR="00AF1EE2" w14:paraId="049F15A4" w14:textId="77777777" w:rsidTr="00AF1EE2">
        <w:tc>
          <w:tcPr>
            <w:tcW w:w="2520" w:type="dxa"/>
            <w:vAlign w:val="center"/>
          </w:tcPr>
          <w:p w14:paraId="02977176" w14:textId="7BE18BD5" w:rsidR="00AF1EE2" w:rsidRPr="00C331A7" w:rsidRDefault="005047C2" w:rsidP="00AF1EE2">
            <w:pPr>
              <w:pStyle w:val="NoteLevel1"/>
              <w:numPr>
                <w:ilvl w:val="0"/>
                <w:numId w:val="0"/>
              </w:numPr>
              <w:jc w:val="center"/>
              <w:rPr>
                <w:rFonts w:ascii="Times New Roman" w:hAnsi="Times New Roman"/>
                <w:sz w:val="22"/>
                <w:szCs w:val="22"/>
              </w:rPr>
            </w:pPr>
            <w:r>
              <w:rPr>
                <w:rFonts w:ascii="Times New Roman" w:eastAsia="Times New Roman" w:hAnsi="Times New Roman" w:cs="Times New Roman"/>
                <w:bCs/>
                <w:color w:val="000000"/>
                <w:sz w:val="22"/>
                <w:szCs w:val="22"/>
              </w:rPr>
              <w:t>Gender</w:t>
            </w:r>
          </w:p>
        </w:tc>
        <w:tc>
          <w:tcPr>
            <w:tcW w:w="1709" w:type="dxa"/>
            <w:vAlign w:val="center"/>
          </w:tcPr>
          <w:p w14:paraId="06E869CD" w14:textId="16BE76CC" w:rsidR="00AF1EE2" w:rsidRPr="001A5CAF" w:rsidRDefault="005047C2" w:rsidP="00AF1EE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B4</w:t>
            </w:r>
          </w:p>
        </w:tc>
        <w:tc>
          <w:tcPr>
            <w:tcW w:w="4321" w:type="dxa"/>
            <w:vAlign w:val="center"/>
          </w:tcPr>
          <w:p w14:paraId="1D2F9E37" w14:textId="561C9D57" w:rsidR="00AF1EE2" w:rsidRPr="001A5CAF" w:rsidRDefault="005047C2" w:rsidP="00AF1EE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Sex of the child</w:t>
            </w:r>
          </w:p>
        </w:tc>
      </w:tr>
      <w:tr w:rsidR="005047C2" w14:paraId="3F61712F" w14:textId="77777777" w:rsidTr="00B32C3D">
        <w:tc>
          <w:tcPr>
            <w:tcW w:w="2520" w:type="dxa"/>
            <w:shd w:val="clear" w:color="auto" w:fill="F2F2F2" w:themeFill="background1" w:themeFillShade="F2"/>
            <w:vAlign w:val="center"/>
          </w:tcPr>
          <w:p w14:paraId="6DF490A1" w14:textId="2C0AE3ED" w:rsidR="005047C2" w:rsidRDefault="005047C2" w:rsidP="005047C2">
            <w:pPr>
              <w:pStyle w:val="NoteLevel1"/>
              <w:numPr>
                <w:ilvl w:val="0"/>
                <w:numId w:val="0"/>
              </w:numPr>
              <w:jc w:val="center"/>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District</w:t>
            </w:r>
          </w:p>
        </w:tc>
        <w:tc>
          <w:tcPr>
            <w:tcW w:w="1709" w:type="dxa"/>
            <w:shd w:val="clear" w:color="auto" w:fill="F2F2F2" w:themeFill="background1" w:themeFillShade="F2"/>
            <w:vAlign w:val="center"/>
          </w:tcPr>
          <w:p w14:paraId="5A5D563D" w14:textId="38D6BFF5" w:rsidR="005047C2"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V101</w:t>
            </w:r>
          </w:p>
        </w:tc>
        <w:tc>
          <w:tcPr>
            <w:tcW w:w="4321" w:type="dxa"/>
            <w:shd w:val="clear" w:color="auto" w:fill="F2F2F2" w:themeFill="background1" w:themeFillShade="F2"/>
            <w:vAlign w:val="center"/>
          </w:tcPr>
          <w:p w14:paraId="49C255C6" w14:textId="2E91354E" w:rsidR="005047C2"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 xml:space="preserve">De </w:t>
            </w:r>
            <w:r w:rsidR="00B32C3D">
              <w:rPr>
                <w:rFonts w:ascii="Times New Roman" w:hAnsi="Times New Roman" w:cs="Times New Roman"/>
                <w:sz w:val="22"/>
                <w:szCs w:val="22"/>
              </w:rPr>
              <w:t>f</w:t>
            </w:r>
            <w:r>
              <w:rPr>
                <w:rFonts w:ascii="Times New Roman" w:hAnsi="Times New Roman" w:cs="Times New Roman"/>
                <w:sz w:val="22"/>
                <w:szCs w:val="22"/>
              </w:rPr>
              <w:t>acto region of residence</w:t>
            </w:r>
          </w:p>
        </w:tc>
      </w:tr>
      <w:tr w:rsidR="005047C2" w14:paraId="2724D1CF" w14:textId="77777777" w:rsidTr="00B32C3D">
        <w:tc>
          <w:tcPr>
            <w:tcW w:w="2520" w:type="dxa"/>
            <w:shd w:val="clear" w:color="auto" w:fill="FFFFFF" w:themeFill="background1"/>
            <w:vAlign w:val="center"/>
          </w:tcPr>
          <w:p w14:paraId="660DE761" w14:textId="78D8E183" w:rsidR="005047C2" w:rsidRPr="00C331A7" w:rsidRDefault="005047C2" w:rsidP="005047C2">
            <w:pPr>
              <w:pStyle w:val="NoteLevel1"/>
              <w:numPr>
                <w:ilvl w:val="0"/>
                <w:numId w:val="0"/>
              </w:numPr>
              <w:jc w:val="center"/>
              <w:rPr>
                <w:rFonts w:ascii="Times New Roman" w:hAnsi="Times New Roman"/>
                <w:sz w:val="22"/>
                <w:szCs w:val="22"/>
              </w:rPr>
            </w:pPr>
            <w:r>
              <w:rPr>
                <w:rFonts w:ascii="Times New Roman" w:eastAsia="Times New Roman" w:hAnsi="Times New Roman" w:cs="Times New Roman"/>
                <w:bCs/>
                <w:color w:val="000000"/>
                <w:sz w:val="22"/>
                <w:szCs w:val="22"/>
              </w:rPr>
              <w:t>Interview (month)</w:t>
            </w:r>
          </w:p>
        </w:tc>
        <w:tc>
          <w:tcPr>
            <w:tcW w:w="1709" w:type="dxa"/>
            <w:shd w:val="clear" w:color="auto" w:fill="FFFFFF" w:themeFill="background1"/>
            <w:vAlign w:val="center"/>
          </w:tcPr>
          <w:p w14:paraId="3E7253EC" w14:textId="156D6F7E" w:rsidR="005047C2" w:rsidRPr="001A5CAF"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V006</w:t>
            </w:r>
          </w:p>
        </w:tc>
        <w:tc>
          <w:tcPr>
            <w:tcW w:w="4321" w:type="dxa"/>
            <w:shd w:val="clear" w:color="auto" w:fill="FFFFFF" w:themeFill="background1"/>
            <w:vAlign w:val="center"/>
          </w:tcPr>
          <w:p w14:paraId="430A5CDA" w14:textId="30A55602" w:rsidR="005047C2" w:rsidRPr="001A5CAF"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Month of interview</w:t>
            </w:r>
          </w:p>
        </w:tc>
      </w:tr>
      <w:tr w:rsidR="005047C2" w14:paraId="305271FA" w14:textId="77777777" w:rsidTr="00B32C3D">
        <w:tc>
          <w:tcPr>
            <w:tcW w:w="2520" w:type="dxa"/>
            <w:shd w:val="clear" w:color="auto" w:fill="F2F2F2" w:themeFill="background1" w:themeFillShade="F2"/>
            <w:vAlign w:val="center"/>
          </w:tcPr>
          <w:p w14:paraId="4A91B7F5" w14:textId="7E1407B1" w:rsidR="005047C2" w:rsidRPr="00C331A7" w:rsidRDefault="005047C2" w:rsidP="005047C2">
            <w:pPr>
              <w:pStyle w:val="NoteLevel1"/>
              <w:numPr>
                <w:ilvl w:val="0"/>
                <w:numId w:val="0"/>
              </w:numPr>
              <w:jc w:val="center"/>
              <w:rPr>
                <w:rFonts w:ascii="Times New Roman" w:hAnsi="Times New Roman"/>
                <w:sz w:val="22"/>
                <w:szCs w:val="22"/>
              </w:rPr>
            </w:pPr>
            <w:r>
              <w:rPr>
                <w:rFonts w:ascii="Times New Roman" w:eastAsia="Times New Roman" w:hAnsi="Times New Roman" w:cs="Times New Roman"/>
                <w:bCs/>
                <w:color w:val="000000"/>
                <w:sz w:val="22"/>
                <w:szCs w:val="22"/>
              </w:rPr>
              <w:t>Interview (year)</w:t>
            </w:r>
          </w:p>
        </w:tc>
        <w:tc>
          <w:tcPr>
            <w:tcW w:w="1709" w:type="dxa"/>
            <w:shd w:val="clear" w:color="auto" w:fill="F2F2F2" w:themeFill="background1" w:themeFillShade="F2"/>
            <w:vAlign w:val="center"/>
          </w:tcPr>
          <w:p w14:paraId="534B0FF7" w14:textId="7CB0B8DD" w:rsidR="005047C2" w:rsidRPr="001A5CAF"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V007</w:t>
            </w:r>
          </w:p>
        </w:tc>
        <w:tc>
          <w:tcPr>
            <w:tcW w:w="4321" w:type="dxa"/>
            <w:shd w:val="clear" w:color="auto" w:fill="F2F2F2" w:themeFill="background1" w:themeFillShade="F2"/>
            <w:vAlign w:val="center"/>
          </w:tcPr>
          <w:p w14:paraId="01B04808" w14:textId="4B74E788" w:rsidR="005047C2" w:rsidRPr="001A5CAF"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Year of interview</w:t>
            </w:r>
          </w:p>
        </w:tc>
      </w:tr>
      <w:tr w:rsidR="005047C2" w14:paraId="172B1C6F" w14:textId="77777777" w:rsidTr="00B32C3D">
        <w:tc>
          <w:tcPr>
            <w:tcW w:w="2520" w:type="dxa"/>
            <w:tcBorders>
              <w:bottom w:val="single" w:sz="4" w:space="0" w:color="auto"/>
            </w:tcBorders>
            <w:shd w:val="clear" w:color="auto" w:fill="FFFFFF" w:themeFill="background1"/>
            <w:vAlign w:val="center"/>
          </w:tcPr>
          <w:p w14:paraId="65EB3E56" w14:textId="27461268" w:rsidR="005047C2" w:rsidRPr="00C331A7" w:rsidRDefault="005047C2" w:rsidP="005047C2">
            <w:pPr>
              <w:pStyle w:val="NoteLevel1"/>
              <w:numPr>
                <w:ilvl w:val="0"/>
                <w:numId w:val="0"/>
              </w:numPr>
              <w:jc w:val="center"/>
              <w:rPr>
                <w:rFonts w:ascii="Times New Roman" w:hAnsi="Times New Roman"/>
                <w:sz w:val="22"/>
                <w:szCs w:val="22"/>
              </w:rPr>
            </w:pPr>
            <w:r>
              <w:rPr>
                <w:rFonts w:ascii="Times New Roman" w:eastAsia="Times New Roman" w:hAnsi="Times New Roman" w:cs="Times New Roman"/>
                <w:bCs/>
                <w:color w:val="000000"/>
                <w:sz w:val="22"/>
                <w:szCs w:val="22"/>
              </w:rPr>
              <w:t>Deworming receipt status</w:t>
            </w:r>
          </w:p>
        </w:tc>
        <w:tc>
          <w:tcPr>
            <w:tcW w:w="1709" w:type="dxa"/>
            <w:tcBorders>
              <w:bottom w:val="single" w:sz="4" w:space="0" w:color="auto"/>
            </w:tcBorders>
            <w:shd w:val="clear" w:color="auto" w:fill="FFFFFF" w:themeFill="background1"/>
            <w:vAlign w:val="center"/>
          </w:tcPr>
          <w:p w14:paraId="0CC36421" w14:textId="48F05038" w:rsidR="005047C2" w:rsidRPr="001A5CAF"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H43</w:t>
            </w:r>
          </w:p>
        </w:tc>
        <w:tc>
          <w:tcPr>
            <w:tcW w:w="4321" w:type="dxa"/>
            <w:tcBorders>
              <w:bottom w:val="single" w:sz="4" w:space="0" w:color="auto"/>
            </w:tcBorders>
            <w:shd w:val="clear" w:color="auto" w:fill="FFFFFF" w:themeFill="background1"/>
            <w:vAlign w:val="center"/>
          </w:tcPr>
          <w:p w14:paraId="3EE4F545" w14:textId="5CC1BCBA" w:rsidR="005047C2" w:rsidRPr="001A5CAF" w:rsidRDefault="005047C2" w:rsidP="005047C2">
            <w:pPr>
              <w:pStyle w:val="NoteLevel1"/>
              <w:numPr>
                <w:ilvl w:val="0"/>
                <w:numId w:val="0"/>
              </w:numPr>
              <w:jc w:val="center"/>
              <w:rPr>
                <w:rFonts w:ascii="Times New Roman" w:hAnsi="Times New Roman" w:cs="Times New Roman"/>
                <w:sz w:val="22"/>
                <w:szCs w:val="22"/>
              </w:rPr>
            </w:pPr>
            <w:r>
              <w:rPr>
                <w:rFonts w:ascii="Times New Roman" w:hAnsi="Times New Roman" w:cs="Times New Roman"/>
                <w:sz w:val="22"/>
                <w:szCs w:val="22"/>
              </w:rPr>
              <w:t>Drugs for intestinal parasites in last 6 months</w:t>
            </w:r>
          </w:p>
        </w:tc>
      </w:tr>
    </w:tbl>
    <w:p w14:paraId="239706B5" w14:textId="52050C96" w:rsidR="00AF1EE2" w:rsidRDefault="00AF1EE2" w:rsidP="008F14DC">
      <w:pPr>
        <w:rPr>
          <w:rFonts w:ascii="Times New Roman" w:hAnsi="Times New Roman" w:cs="Times New Roman"/>
          <w:b/>
        </w:rPr>
      </w:pPr>
    </w:p>
    <w:p w14:paraId="26C0C995" w14:textId="77777777" w:rsidR="00AF1EE2" w:rsidRDefault="00AF1EE2">
      <w:pPr>
        <w:rPr>
          <w:rFonts w:ascii="Times New Roman" w:hAnsi="Times New Roman" w:cs="Times New Roman"/>
          <w:b/>
        </w:rPr>
      </w:pPr>
      <w:r>
        <w:rPr>
          <w:rFonts w:ascii="Times New Roman" w:hAnsi="Times New Roman" w:cs="Times New Roman"/>
          <w:b/>
        </w:rPr>
        <w:br w:type="page"/>
      </w:r>
    </w:p>
    <w:p w14:paraId="29483424" w14:textId="77777777" w:rsidR="00AF1EE2" w:rsidRDefault="00AF1EE2" w:rsidP="008F14DC">
      <w:pPr>
        <w:rPr>
          <w:rFonts w:ascii="Times New Roman" w:hAnsi="Times New Roman" w:cs="Times New Roman"/>
          <w:b/>
        </w:rPr>
      </w:pPr>
    </w:p>
    <w:p w14:paraId="4FFD4248" w14:textId="7BE701C9" w:rsidR="00AF1EE2" w:rsidRDefault="00AF1EE2" w:rsidP="008F14DC">
      <w:pPr>
        <w:rPr>
          <w:rFonts w:ascii="Times New Roman" w:hAnsi="Times New Roman" w:cs="Times New Roman"/>
          <w:b/>
        </w:rPr>
      </w:pPr>
      <w:r>
        <w:rPr>
          <w:rFonts w:ascii="Times New Roman" w:hAnsi="Times New Roman" w:cs="Times New Roman"/>
          <w:b/>
          <w:noProof/>
        </w:rPr>
        <w:drawing>
          <wp:inline distT="0" distB="0" distL="0" distR="0" wp14:anchorId="683C7FF7" wp14:editId="44CCC961">
            <wp:extent cx="5305079" cy="2555019"/>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ur_convergence_6.png"/>
                    <pic:cNvPicPr/>
                  </pic:nvPicPr>
                  <pic:blipFill>
                    <a:blip r:embed="rId8"/>
                    <a:stretch>
                      <a:fillRect/>
                    </a:stretch>
                  </pic:blipFill>
                  <pic:spPr>
                    <a:xfrm>
                      <a:off x="0" y="0"/>
                      <a:ext cx="5305079" cy="2555019"/>
                    </a:xfrm>
                    <a:prstGeom prst="rect">
                      <a:avLst/>
                    </a:prstGeom>
                  </pic:spPr>
                </pic:pic>
              </a:graphicData>
            </a:graphic>
          </wp:inline>
        </w:drawing>
      </w:r>
    </w:p>
    <w:p w14:paraId="1D5090CC" w14:textId="1C3BB826" w:rsidR="00BA55CE" w:rsidRPr="002678B2" w:rsidRDefault="00BA55CE" w:rsidP="00BA55CE">
      <w:pPr>
        <w:rPr>
          <w:rFonts w:ascii="Times New Roman" w:hAnsi="Times New Roman" w:cs="Times New Roman"/>
        </w:rPr>
      </w:pPr>
      <w:r>
        <w:rPr>
          <w:rFonts w:ascii="Times New Roman" w:hAnsi="Times New Roman"/>
          <w:b/>
        </w:rPr>
        <w:t>Figure A1</w:t>
      </w:r>
      <w:r w:rsidRPr="008E414F">
        <w:rPr>
          <w:rFonts w:ascii="Times New Roman" w:hAnsi="Times New Roman"/>
          <w:b/>
        </w:rPr>
        <w:t xml:space="preserve">: </w:t>
      </w:r>
      <w:r w:rsidR="00AF1EE2">
        <w:rPr>
          <w:rFonts w:ascii="Times New Roman" w:hAnsi="Times New Roman" w:cs="Times New Roman"/>
          <w:b/>
        </w:rPr>
        <w:t xml:space="preserve">Fitting of “treatment correlation” parameter under base </w:t>
      </w:r>
      <w:r w:rsidR="00F40555">
        <w:rPr>
          <w:rFonts w:ascii="Times New Roman" w:hAnsi="Times New Roman" w:cs="Times New Roman"/>
          <w:b/>
        </w:rPr>
        <w:t xml:space="preserve">case analysis </w:t>
      </w:r>
      <w:r w:rsidR="00AF1EE2">
        <w:rPr>
          <w:rFonts w:ascii="Times New Roman" w:hAnsi="Times New Roman" w:cs="Times New Roman"/>
          <w:b/>
        </w:rPr>
        <w:t>in Burundi</w:t>
      </w:r>
      <w:r w:rsidR="00DE4AAF">
        <w:rPr>
          <w:rFonts w:ascii="Times New Roman" w:hAnsi="Times New Roman" w:cs="Times New Roman"/>
          <w:b/>
        </w:rPr>
        <w:t xml:space="preserve">. </w:t>
      </w:r>
      <w:r w:rsidR="006007E5">
        <w:rPr>
          <w:rFonts w:ascii="Times New Roman" w:hAnsi="Times New Roman" w:cs="Times New Roman"/>
        </w:rPr>
        <w:t xml:space="preserve">We fit the “treatment correlation” parameter used to minimize the sum of square error between coverage estimates reported to WHO and by DHS in regions with overlapping deworming campaigns reported to WHO. The parameter was fit over </w:t>
      </w:r>
      <w:r w:rsidR="00F40555">
        <w:rPr>
          <w:rFonts w:ascii="Times New Roman" w:hAnsi="Times New Roman" w:cs="Times New Roman"/>
        </w:rPr>
        <w:t>250</w:t>
      </w:r>
      <w:r w:rsidR="006007E5">
        <w:rPr>
          <w:rFonts w:ascii="Times New Roman" w:hAnsi="Times New Roman" w:cs="Times New Roman"/>
        </w:rPr>
        <w:t>,000 trials.</w:t>
      </w:r>
    </w:p>
    <w:p w14:paraId="1954B611" w14:textId="6441C46D" w:rsidR="00A91C0F" w:rsidRPr="00AF1EE2" w:rsidRDefault="00A91C0F"/>
    <w:sectPr w:rsidR="00A91C0F" w:rsidRPr="00AF1EE2" w:rsidSect="00AC2C5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DA29" w14:textId="77777777" w:rsidR="0058717F" w:rsidRDefault="0058717F" w:rsidP="007B309F">
      <w:r>
        <w:separator/>
      </w:r>
    </w:p>
  </w:endnote>
  <w:endnote w:type="continuationSeparator" w:id="0">
    <w:p w14:paraId="2F837842" w14:textId="77777777" w:rsidR="0058717F" w:rsidRDefault="0058717F" w:rsidP="007B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3704" w14:textId="77777777" w:rsidR="00EB63DA" w:rsidRDefault="00EB63DA" w:rsidP="00E1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9C15F4" w14:textId="77777777" w:rsidR="00EB63DA" w:rsidRDefault="00EB63DA" w:rsidP="007B3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792D0" w14:textId="77777777" w:rsidR="00EB63DA" w:rsidRDefault="00EB63DA" w:rsidP="00E1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45B1EC" w14:textId="77777777" w:rsidR="00EB63DA" w:rsidRDefault="00EB63DA" w:rsidP="007B30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2B22" w14:textId="77777777" w:rsidR="0058717F" w:rsidRDefault="0058717F" w:rsidP="007B309F">
      <w:r>
        <w:separator/>
      </w:r>
    </w:p>
  </w:footnote>
  <w:footnote w:type="continuationSeparator" w:id="0">
    <w:p w14:paraId="4A55C810" w14:textId="77777777" w:rsidR="0058717F" w:rsidRDefault="0058717F" w:rsidP="007B3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B054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3A387E"/>
    <w:multiLevelType w:val="hybridMultilevel"/>
    <w:tmpl w:val="26E80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C2E4B"/>
    <w:multiLevelType w:val="hybridMultilevel"/>
    <w:tmpl w:val="E1B44146"/>
    <w:lvl w:ilvl="0" w:tplc="0409000B">
      <w:start w:val="1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B5376"/>
    <w:multiLevelType w:val="hybridMultilevel"/>
    <w:tmpl w:val="390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179B1"/>
    <w:multiLevelType w:val="hybridMultilevel"/>
    <w:tmpl w:val="772EA922"/>
    <w:lvl w:ilvl="0" w:tplc="B232DEC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846F9"/>
    <w:multiLevelType w:val="multilevel"/>
    <w:tmpl w:val="2884D654"/>
    <w:lvl w:ilvl="0">
      <w:start w:val="1"/>
      <w:numFmt w:val="decimal"/>
      <w:lvlText w:val="%1."/>
      <w:lvlJc w:val="left"/>
      <w:pPr>
        <w:ind w:left="360" w:hanging="360"/>
      </w:pPr>
      <w:rPr>
        <w:rFonts w:hint="default"/>
      </w:rPr>
    </w:lvl>
    <w:lvl w:ilvl="1">
      <w:start w:val="12"/>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497A094A"/>
    <w:multiLevelType w:val="hybridMultilevel"/>
    <w:tmpl w:val="9FACF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5wd9te5se9zqevvffvxvaz9pxf2fss0as2&quot;&gt;Typhoid CEA&lt;record-ids&gt;&lt;item&gt;45&lt;/item&gt;&lt;item&gt;66&lt;/item&gt;&lt;item&gt;68&lt;/item&gt;&lt;item&gt;69&lt;/item&gt;&lt;item&gt;70&lt;/item&gt;&lt;/record-ids&gt;&lt;/item&gt;&lt;/Libraries&gt;"/>
  </w:docVars>
  <w:rsids>
    <w:rsidRoot w:val="00877B53"/>
    <w:rsid w:val="00000300"/>
    <w:rsid w:val="00001DA0"/>
    <w:rsid w:val="00007C3E"/>
    <w:rsid w:val="00010CD1"/>
    <w:rsid w:val="00010E8D"/>
    <w:rsid w:val="00014E1A"/>
    <w:rsid w:val="000474F1"/>
    <w:rsid w:val="000541A6"/>
    <w:rsid w:val="00055ACC"/>
    <w:rsid w:val="00061611"/>
    <w:rsid w:val="00061A57"/>
    <w:rsid w:val="00061ADB"/>
    <w:rsid w:val="00065EEB"/>
    <w:rsid w:val="00072515"/>
    <w:rsid w:val="00073CCD"/>
    <w:rsid w:val="00077FE7"/>
    <w:rsid w:val="00081272"/>
    <w:rsid w:val="000B23E7"/>
    <w:rsid w:val="000B2F38"/>
    <w:rsid w:val="000C0100"/>
    <w:rsid w:val="000C087D"/>
    <w:rsid w:val="000C3B6A"/>
    <w:rsid w:val="000D1B10"/>
    <w:rsid w:val="000D279A"/>
    <w:rsid w:val="000D743A"/>
    <w:rsid w:val="000E4708"/>
    <w:rsid w:val="000E4911"/>
    <w:rsid w:val="000F0DDE"/>
    <w:rsid w:val="000F22C6"/>
    <w:rsid w:val="000F723D"/>
    <w:rsid w:val="00100E5B"/>
    <w:rsid w:val="00101A90"/>
    <w:rsid w:val="001034C3"/>
    <w:rsid w:val="00104FAC"/>
    <w:rsid w:val="00120EDD"/>
    <w:rsid w:val="00122953"/>
    <w:rsid w:val="001234B4"/>
    <w:rsid w:val="00131160"/>
    <w:rsid w:val="00134613"/>
    <w:rsid w:val="00137F85"/>
    <w:rsid w:val="00147079"/>
    <w:rsid w:val="00147E92"/>
    <w:rsid w:val="001613F2"/>
    <w:rsid w:val="001647DF"/>
    <w:rsid w:val="0017186D"/>
    <w:rsid w:val="00174700"/>
    <w:rsid w:val="00174AC2"/>
    <w:rsid w:val="001758DC"/>
    <w:rsid w:val="00176FCC"/>
    <w:rsid w:val="00180F89"/>
    <w:rsid w:val="001A280C"/>
    <w:rsid w:val="001A5CAF"/>
    <w:rsid w:val="001B64BC"/>
    <w:rsid w:val="001C68B6"/>
    <w:rsid w:val="001C7DBD"/>
    <w:rsid w:val="001E5334"/>
    <w:rsid w:val="001E6AE7"/>
    <w:rsid w:val="001F0FAD"/>
    <w:rsid w:val="001F2F3F"/>
    <w:rsid w:val="001F5E0B"/>
    <w:rsid w:val="001F6477"/>
    <w:rsid w:val="0020040C"/>
    <w:rsid w:val="00216EF4"/>
    <w:rsid w:val="0021795B"/>
    <w:rsid w:val="0022436E"/>
    <w:rsid w:val="00231958"/>
    <w:rsid w:val="00233691"/>
    <w:rsid w:val="00233BCC"/>
    <w:rsid w:val="00234C81"/>
    <w:rsid w:val="00235492"/>
    <w:rsid w:val="00245EFD"/>
    <w:rsid w:val="0024711D"/>
    <w:rsid w:val="002506EB"/>
    <w:rsid w:val="00251986"/>
    <w:rsid w:val="00253C19"/>
    <w:rsid w:val="00255A1E"/>
    <w:rsid w:val="00260F84"/>
    <w:rsid w:val="00266351"/>
    <w:rsid w:val="00266B51"/>
    <w:rsid w:val="002678B2"/>
    <w:rsid w:val="00271309"/>
    <w:rsid w:val="002734EC"/>
    <w:rsid w:val="00273F3F"/>
    <w:rsid w:val="002766D2"/>
    <w:rsid w:val="00277BDF"/>
    <w:rsid w:val="00283570"/>
    <w:rsid w:val="00283E56"/>
    <w:rsid w:val="00286565"/>
    <w:rsid w:val="002A00C1"/>
    <w:rsid w:val="002A14F2"/>
    <w:rsid w:val="002B0702"/>
    <w:rsid w:val="002C3062"/>
    <w:rsid w:val="002C5161"/>
    <w:rsid w:val="002C6E12"/>
    <w:rsid w:val="002E3E21"/>
    <w:rsid w:val="002E5C39"/>
    <w:rsid w:val="003019F2"/>
    <w:rsid w:val="00305AF8"/>
    <w:rsid w:val="003108DF"/>
    <w:rsid w:val="00310A44"/>
    <w:rsid w:val="0031213A"/>
    <w:rsid w:val="0031744B"/>
    <w:rsid w:val="0031759C"/>
    <w:rsid w:val="00326EC5"/>
    <w:rsid w:val="0033078C"/>
    <w:rsid w:val="00330C31"/>
    <w:rsid w:val="00332E2A"/>
    <w:rsid w:val="0033327B"/>
    <w:rsid w:val="00335C42"/>
    <w:rsid w:val="0033783C"/>
    <w:rsid w:val="00337EF4"/>
    <w:rsid w:val="00347BC7"/>
    <w:rsid w:val="00353778"/>
    <w:rsid w:val="00353851"/>
    <w:rsid w:val="00364368"/>
    <w:rsid w:val="00366E12"/>
    <w:rsid w:val="003744F0"/>
    <w:rsid w:val="003768C0"/>
    <w:rsid w:val="0037770E"/>
    <w:rsid w:val="003851FA"/>
    <w:rsid w:val="003868DC"/>
    <w:rsid w:val="00390DB6"/>
    <w:rsid w:val="003918BA"/>
    <w:rsid w:val="00393991"/>
    <w:rsid w:val="003A364A"/>
    <w:rsid w:val="003A5228"/>
    <w:rsid w:val="003B3DAB"/>
    <w:rsid w:val="003D1693"/>
    <w:rsid w:val="003D7B45"/>
    <w:rsid w:val="003E19B4"/>
    <w:rsid w:val="003E6939"/>
    <w:rsid w:val="00422884"/>
    <w:rsid w:val="00431AC6"/>
    <w:rsid w:val="004366F7"/>
    <w:rsid w:val="004416C4"/>
    <w:rsid w:val="00444479"/>
    <w:rsid w:val="004458C6"/>
    <w:rsid w:val="004513BD"/>
    <w:rsid w:val="004576B5"/>
    <w:rsid w:val="004612CB"/>
    <w:rsid w:val="00466CC3"/>
    <w:rsid w:val="00472C05"/>
    <w:rsid w:val="00476A56"/>
    <w:rsid w:val="004827C1"/>
    <w:rsid w:val="00485EA1"/>
    <w:rsid w:val="004869CC"/>
    <w:rsid w:val="00490B71"/>
    <w:rsid w:val="004A1165"/>
    <w:rsid w:val="004A66F1"/>
    <w:rsid w:val="004A7C17"/>
    <w:rsid w:val="004B10E0"/>
    <w:rsid w:val="004C045C"/>
    <w:rsid w:val="004C328F"/>
    <w:rsid w:val="004C3F4B"/>
    <w:rsid w:val="004D215B"/>
    <w:rsid w:val="004E1E38"/>
    <w:rsid w:val="004F2657"/>
    <w:rsid w:val="004F4C39"/>
    <w:rsid w:val="004F4E81"/>
    <w:rsid w:val="004F579B"/>
    <w:rsid w:val="0050040B"/>
    <w:rsid w:val="005047C2"/>
    <w:rsid w:val="00511D6A"/>
    <w:rsid w:val="00512910"/>
    <w:rsid w:val="00517030"/>
    <w:rsid w:val="005226A8"/>
    <w:rsid w:val="00534765"/>
    <w:rsid w:val="00540DB4"/>
    <w:rsid w:val="0054183D"/>
    <w:rsid w:val="005511AF"/>
    <w:rsid w:val="005532B0"/>
    <w:rsid w:val="00572DEE"/>
    <w:rsid w:val="0058083C"/>
    <w:rsid w:val="0058717F"/>
    <w:rsid w:val="00590686"/>
    <w:rsid w:val="00594FD4"/>
    <w:rsid w:val="0059510C"/>
    <w:rsid w:val="005A70E8"/>
    <w:rsid w:val="005B103C"/>
    <w:rsid w:val="005C443A"/>
    <w:rsid w:val="005D11B8"/>
    <w:rsid w:val="005D1FAF"/>
    <w:rsid w:val="005D2EC0"/>
    <w:rsid w:val="005D5847"/>
    <w:rsid w:val="005E0297"/>
    <w:rsid w:val="005E2739"/>
    <w:rsid w:val="005F220B"/>
    <w:rsid w:val="005F6F45"/>
    <w:rsid w:val="005F7B28"/>
    <w:rsid w:val="006007E5"/>
    <w:rsid w:val="0060705D"/>
    <w:rsid w:val="006137F6"/>
    <w:rsid w:val="006148C7"/>
    <w:rsid w:val="00633145"/>
    <w:rsid w:val="00641670"/>
    <w:rsid w:val="00641DFE"/>
    <w:rsid w:val="006443F2"/>
    <w:rsid w:val="00646BB0"/>
    <w:rsid w:val="00650B55"/>
    <w:rsid w:val="00655B7A"/>
    <w:rsid w:val="00660F9C"/>
    <w:rsid w:val="00666C14"/>
    <w:rsid w:val="006679A0"/>
    <w:rsid w:val="006701AD"/>
    <w:rsid w:val="00683A17"/>
    <w:rsid w:val="00684798"/>
    <w:rsid w:val="006856C5"/>
    <w:rsid w:val="00685812"/>
    <w:rsid w:val="006878F2"/>
    <w:rsid w:val="006920CB"/>
    <w:rsid w:val="00695874"/>
    <w:rsid w:val="006965E0"/>
    <w:rsid w:val="006A5863"/>
    <w:rsid w:val="006A7F23"/>
    <w:rsid w:val="006B07FE"/>
    <w:rsid w:val="006B1227"/>
    <w:rsid w:val="006C4792"/>
    <w:rsid w:val="006C5828"/>
    <w:rsid w:val="006C5F97"/>
    <w:rsid w:val="006E4395"/>
    <w:rsid w:val="006E586A"/>
    <w:rsid w:val="006E7009"/>
    <w:rsid w:val="006F133B"/>
    <w:rsid w:val="006F418E"/>
    <w:rsid w:val="00702A02"/>
    <w:rsid w:val="00714CFA"/>
    <w:rsid w:val="007563B2"/>
    <w:rsid w:val="00760B07"/>
    <w:rsid w:val="00761B1B"/>
    <w:rsid w:val="00767F0B"/>
    <w:rsid w:val="007725F0"/>
    <w:rsid w:val="00780D47"/>
    <w:rsid w:val="00781BCB"/>
    <w:rsid w:val="0078201C"/>
    <w:rsid w:val="007828BA"/>
    <w:rsid w:val="007839AD"/>
    <w:rsid w:val="00784734"/>
    <w:rsid w:val="007860D3"/>
    <w:rsid w:val="0078744E"/>
    <w:rsid w:val="00787746"/>
    <w:rsid w:val="00792219"/>
    <w:rsid w:val="007A00EF"/>
    <w:rsid w:val="007A4660"/>
    <w:rsid w:val="007B200D"/>
    <w:rsid w:val="007B20E2"/>
    <w:rsid w:val="007B309F"/>
    <w:rsid w:val="007C0F5F"/>
    <w:rsid w:val="007C42E2"/>
    <w:rsid w:val="007D378A"/>
    <w:rsid w:val="007E10A1"/>
    <w:rsid w:val="007E6DFA"/>
    <w:rsid w:val="007F4426"/>
    <w:rsid w:val="0080275D"/>
    <w:rsid w:val="0080432A"/>
    <w:rsid w:val="00806055"/>
    <w:rsid w:val="00812DAE"/>
    <w:rsid w:val="00813EBE"/>
    <w:rsid w:val="00823730"/>
    <w:rsid w:val="00826BC6"/>
    <w:rsid w:val="00831A52"/>
    <w:rsid w:val="008467A4"/>
    <w:rsid w:val="00847BD3"/>
    <w:rsid w:val="0085593D"/>
    <w:rsid w:val="0086113E"/>
    <w:rsid w:val="008659FD"/>
    <w:rsid w:val="0087655F"/>
    <w:rsid w:val="008768FD"/>
    <w:rsid w:val="00877B53"/>
    <w:rsid w:val="008819A1"/>
    <w:rsid w:val="00885AC5"/>
    <w:rsid w:val="00895290"/>
    <w:rsid w:val="008956FB"/>
    <w:rsid w:val="00897546"/>
    <w:rsid w:val="008A2C01"/>
    <w:rsid w:val="008B7EC5"/>
    <w:rsid w:val="008D0D34"/>
    <w:rsid w:val="008D17F0"/>
    <w:rsid w:val="008D33BA"/>
    <w:rsid w:val="008D3971"/>
    <w:rsid w:val="008D557E"/>
    <w:rsid w:val="008F14DC"/>
    <w:rsid w:val="008F4EB2"/>
    <w:rsid w:val="008F75ED"/>
    <w:rsid w:val="0090755D"/>
    <w:rsid w:val="00907DD7"/>
    <w:rsid w:val="00912363"/>
    <w:rsid w:val="0091742A"/>
    <w:rsid w:val="009202E6"/>
    <w:rsid w:val="00923790"/>
    <w:rsid w:val="00925F17"/>
    <w:rsid w:val="009279F7"/>
    <w:rsid w:val="00931DAF"/>
    <w:rsid w:val="0093486B"/>
    <w:rsid w:val="00936C20"/>
    <w:rsid w:val="00940AD6"/>
    <w:rsid w:val="00940F49"/>
    <w:rsid w:val="00941D1B"/>
    <w:rsid w:val="00942275"/>
    <w:rsid w:val="009444E0"/>
    <w:rsid w:val="00947047"/>
    <w:rsid w:val="009520A0"/>
    <w:rsid w:val="0095392E"/>
    <w:rsid w:val="00956DC1"/>
    <w:rsid w:val="0096214B"/>
    <w:rsid w:val="009706DD"/>
    <w:rsid w:val="00976826"/>
    <w:rsid w:val="00980E2C"/>
    <w:rsid w:val="00980EF4"/>
    <w:rsid w:val="00981732"/>
    <w:rsid w:val="00981E2D"/>
    <w:rsid w:val="009931D5"/>
    <w:rsid w:val="009955BF"/>
    <w:rsid w:val="009A049B"/>
    <w:rsid w:val="009A3114"/>
    <w:rsid w:val="009B60D5"/>
    <w:rsid w:val="009C1216"/>
    <w:rsid w:val="009C1AC3"/>
    <w:rsid w:val="009C7B2D"/>
    <w:rsid w:val="009E30F0"/>
    <w:rsid w:val="009E5519"/>
    <w:rsid w:val="009E787B"/>
    <w:rsid w:val="009F67A2"/>
    <w:rsid w:val="009F787A"/>
    <w:rsid w:val="00A032E9"/>
    <w:rsid w:val="00A03A3C"/>
    <w:rsid w:val="00A0410F"/>
    <w:rsid w:val="00A127E6"/>
    <w:rsid w:val="00A2102F"/>
    <w:rsid w:val="00A22CA7"/>
    <w:rsid w:val="00A2516D"/>
    <w:rsid w:val="00A36B91"/>
    <w:rsid w:val="00A36E0A"/>
    <w:rsid w:val="00A37181"/>
    <w:rsid w:val="00A45601"/>
    <w:rsid w:val="00A46869"/>
    <w:rsid w:val="00A5263C"/>
    <w:rsid w:val="00A57844"/>
    <w:rsid w:val="00A61819"/>
    <w:rsid w:val="00A64D84"/>
    <w:rsid w:val="00A70A59"/>
    <w:rsid w:val="00A76F92"/>
    <w:rsid w:val="00A82794"/>
    <w:rsid w:val="00A83623"/>
    <w:rsid w:val="00A9042C"/>
    <w:rsid w:val="00A90561"/>
    <w:rsid w:val="00A91C0F"/>
    <w:rsid w:val="00A92C5F"/>
    <w:rsid w:val="00A9395F"/>
    <w:rsid w:val="00A97AFE"/>
    <w:rsid w:val="00AB3966"/>
    <w:rsid w:val="00AB7F4C"/>
    <w:rsid w:val="00AC05E9"/>
    <w:rsid w:val="00AC0B56"/>
    <w:rsid w:val="00AC2C59"/>
    <w:rsid w:val="00AD2DA1"/>
    <w:rsid w:val="00AD4F71"/>
    <w:rsid w:val="00AE158D"/>
    <w:rsid w:val="00AE67BF"/>
    <w:rsid w:val="00AE7B23"/>
    <w:rsid w:val="00AF1EE2"/>
    <w:rsid w:val="00B020A7"/>
    <w:rsid w:val="00B0229E"/>
    <w:rsid w:val="00B023C1"/>
    <w:rsid w:val="00B05966"/>
    <w:rsid w:val="00B102C5"/>
    <w:rsid w:val="00B10D40"/>
    <w:rsid w:val="00B169AE"/>
    <w:rsid w:val="00B223D7"/>
    <w:rsid w:val="00B32C3D"/>
    <w:rsid w:val="00B35521"/>
    <w:rsid w:val="00B50427"/>
    <w:rsid w:val="00B50547"/>
    <w:rsid w:val="00B57A8E"/>
    <w:rsid w:val="00B64A77"/>
    <w:rsid w:val="00B73498"/>
    <w:rsid w:val="00B7356A"/>
    <w:rsid w:val="00B81FD7"/>
    <w:rsid w:val="00B85172"/>
    <w:rsid w:val="00B85C54"/>
    <w:rsid w:val="00BA241A"/>
    <w:rsid w:val="00BA55CE"/>
    <w:rsid w:val="00BD411E"/>
    <w:rsid w:val="00BE3FDE"/>
    <w:rsid w:val="00BE43BB"/>
    <w:rsid w:val="00BE5EDC"/>
    <w:rsid w:val="00BF03DD"/>
    <w:rsid w:val="00BF62A9"/>
    <w:rsid w:val="00BF6A75"/>
    <w:rsid w:val="00C0220F"/>
    <w:rsid w:val="00C02D92"/>
    <w:rsid w:val="00C1453B"/>
    <w:rsid w:val="00C1707B"/>
    <w:rsid w:val="00C2058F"/>
    <w:rsid w:val="00C32342"/>
    <w:rsid w:val="00C331A7"/>
    <w:rsid w:val="00C3502C"/>
    <w:rsid w:val="00C3608B"/>
    <w:rsid w:val="00C53C79"/>
    <w:rsid w:val="00C56147"/>
    <w:rsid w:val="00C62D2F"/>
    <w:rsid w:val="00C70117"/>
    <w:rsid w:val="00C729AA"/>
    <w:rsid w:val="00C73019"/>
    <w:rsid w:val="00C73E85"/>
    <w:rsid w:val="00C76953"/>
    <w:rsid w:val="00C80E3F"/>
    <w:rsid w:val="00C82A0C"/>
    <w:rsid w:val="00C910F4"/>
    <w:rsid w:val="00CB0835"/>
    <w:rsid w:val="00CB31DA"/>
    <w:rsid w:val="00CB5837"/>
    <w:rsid w:val="00CB5AF6"/>
    <w:rsid w:val="00CC039C"/>
    <w:rsid w:val="00CC1247"/>
    <w:rsid w:val="00CC56EE"/>
    <w:rsid w:val="00CC5DA2"/>
    <w:rsid w:val="00CC6603"/>
    <w:rsid w:val="00CE0079"/>
    <w:rsid w:val="00CF580E"/>
    <w:rsid w:val="00D01DCE"/>
    <w:rsid w:val="00D100F0"/>
    <w:rsid w:val="00D1230C"/>
    <w:rsid w:val="00D15B39"/>
    <w:rsid w:val="00D16258"/>
    <w:rsid w:val="00D17E85"/>
    <w:rsid w:val="00D20242"/>
    <w:rsid w:val="00D20E96"/>
    <w:rsid w:val="00D2116C"/>
    <w:rsid w:val="00D2614A"/>
    <w:rsid w:val="00D303F4"/>
    <w:rsid w:val="00D31E53"/>
    <w:rsid w:val="00D3317B"/>
    <w:rsid w:val="00D33575"/>
    <w:rsid w:val="00D46A68"/>
    <w:rsid w:val="00D477A8"/>
    <w:rsid w:val="00D53DA5"/>
    <w:rsid w:val="00D55CD9"/>
    <w:rsid w:val="00D63014"/>
    <w:rsid w:val="00D6485F"/>
    <w:rsid w:val="00D64FBD"/>
    <w:rsid w:val="00D71244"/>
    <w:rsid w:val="00D71932"/>
    <w:rsid w:val="00D8165A"/>
    <w:rsid w:val="00D8349B"/>
    <w:rsid w:val="00D87E3C"/>
    <w:rsid w:val="00D90A54"/>
    <w:rsid w:val="00D913D4"/>
    <w:rsid w:val="00D95530"/>
    <w:rsid w:val="00D97D41"/>
    <w:rsid w:val="00DA09C0"/>
    <w:rsid w:val="00DA0E20"/>
    <w:rsid w:val="00DB23F0"/>
    <w:rsid w:val="00DB500B"/>
    <w:rsid w:val="00DB5843"/>
    <w:rsid w:val="00DB5A52"/>
    <w:rsid w:val="00DB71B3"/>
    <w:rsid w:val="00DC28E6"/>
    <w:rsid w:val="00DC6A11"/>
    <w:rsid w:val="00DD2FDD"/>
    <w:rsid w:val="00DD7320"/>
    <w:rsid w:val="00DE27D9"/>
    <w:rsid w:val="00DE4AAF"/>
    <w:rsid w:val="00DE519C"/>
    <w:rsid w:val="00DE6EF1"/>
    <w:rsid w:val="00DF2138"/>
    <w:rsid w:val="00E05A6E"/>
    <w:rsid w:val="00E149DF"/>
    <w:rsid w:val="00E169E8"/>
    <w:rsid w:val="00E209CD"/>
    <w:rsid w:val="00E2103D"/>
    <w:rsid w:val="00E22D3A"/>
    <w:rsid w:val="00E23050"/>
    <w:rsid w:val="00E26C32"/>
    <w:rsid w:val="00E275E4"/>
    <w:rsid w:val="00E4481A"/>
    <w:rsid w:val="00E50D32"/>
    <w:rsid w:val="00E52C7C"/>
    <w:rsid w:val="00E52EAF"/>
    <w:rsid w:val="00E54B55"/>
    <w:rsid w:val="00E63D69"/>
    <w:rsid w:val="00E7381A"/>
    <w:rsid w:val="00E75E37"/>
    <w:rsid w:val="00E8179B"/>
    <w:rsid w:val="00E90D45"/>
    <w:rsid w:val="00E90EE4"/>
    <w:rsid w:val="00E920EE"/>
    <w:rsid w:val="00E92B0D"/>
    <w:rsid w:val="00EA5AC8"/>
    <w:rsid w:val="00EA614F"/>
    <w:rsid w:val="00EB290F"/>
    <w:rsid w:val="00EB499B"/>
    <w:rsid w:val="00EB63DA"/>
    <w:rsid w:val="00EB6A8B"/>
    <w:rsid w:val="00EC7EF4"/>
    <w:rsid w:val="00ED5152"/>
    <w:rsid w:val="00ED6F0D"/>
    <w:rsid w:val="00ED7630"/>
    <w:rsid w:val="00EE09F7"/>
    <w:rsid w:val="00EE29BC"/>
    <w:rsid w:val="00EE3AF9"/>
    <w:rsid w:val="00EE3BCA"/>
    <w:rsid w:val="00EF0BDD"/>
    <w:rsid w:val="00EF0BDE"/>
    <w:rsid w:val="00EF1816"/>
    <w:rsid w:val="00EF55A6"/>
    <w:rsid w:val="00EF62DD"/>
    <w:rsid w:val="00F01648"/>
    <w:rsid w:val="00F0352A"/>
    <w:rsid w:val="00F14E7E"/>
    <w:rsid w:val="00F213F2"/>
    <w:rsid w:val="00F239F2"/>
    <w:rsid w:val="00F23E38"/>
    <w:rsid w:val="00F24CA9"/>
    <w:rsid w:val="00F314C0"/>
    <w:rsid w:val="00F36EDE"/>
    <w:rsid w:val="00F37A5E"/>
    <w:rsid w:val="00F40555"/>
    <w:rsid w:val="00F46269"/>
    <w:rsid w:val="00F47978"/>
    <w:rsid w:val="00F5294E"/>
    <w:rsid w:val="00F5485E"/>
    <w:rsid w:val="00F54900"/>
    <w:rsid w:val="00F6220C"/>
    <w:rsid w:val="00F63776"/>
    <w:rsid w:val="00F65A21"/>
    <w:rsid w:val="00F756F6"/>
    <w:rsid w:val="00F82931"/>
    <w:rsid w:val="00F8662E"/>
    <w:rsid w:val="00F92533"/>
    <w:rsid w:val="00F92FD8"/>
    <w:rsid w:val="00F93570"/>
    <w:rsid w:val="00F93F76"/>
    <w:rsid w:val="00F95182"/>
    <w:rsid w:val="00F972D9"/>
    <w:rsid w:val="00FA2AEC"/>
    <w:rsid w:val="00FB4366"/>
    <w:rsid w:val="00FB54F8"/>
    <w:rsid w:val="00FB56C3"/>
    <w:rsid w:val="00FC1EA5"/>
    <w:rsid w:val="00FC717F"/>
    <w:rsid w:val="00FD1CA1"/>
    <w:rsid w:val="00FD3ECA"/>
    <w:rsid w:val="00FD54D0"/>
    <w:rsid w:val="00FE0BE9"/>
    <w:rsid w:val="00FE67C3"/>
    <w:rsid w:val="00FF1061"/>
    <w:rsid w:val="00FF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7B7C2"/>
  <w14:defaultImageDpi w14:val="300"/>
  <w15:docId w15:val="{3D0D2023-8C04-BC46-9796-FA3EE5F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00E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rsid w:val="00001DA0"/>
    <w:pPr>
      <w:jc w:val="center"/>
    </w:pPr>
    <w:rPr>
      <w:rFonts w:ascii="Cambria" w:hAnsi="Cambria"/>
    </w:rPr>
  </w:style>
  <w:style w:type="paragraph" w:customStyle="1" w:styleId="EndNoteBibliography">
    <w:name w:val="EndNote Bibliography"/>
    <w:basedOn w:val="Normal"/>
    <w:rsid w:val="00001DA0"/>
    <w:rPr>
      <w:rFonts w:ascii="Cambria" w:hAnsi="Cambria"/>
    </w:rPr>
  </w:style>
  <w:style w:type="paragraph" w:styleId="Footer">
    <w:name w:val="footer"/>
    <w:basedOn w:val="Normal"/>
    <w:link w:val="FooterChar"/>
    <w:uiPriority w:val="99"/>
    <w:unhideWhenUsed/>
    <w:rsid w:val="007B309F"/>
    <w:pPr>
      <w:tabs>
        <w:tab w:val="center" w:pos="4320"/>
        <w:tab w:val="right" w:pos="8640"/>
      </w:tabs>
    </w:pPr>
  </w:style>
  <w:style w:type="character" w:customStyle="1" w:styleId="FooterChar">
    <w:name w:val="Footer Char"/>
    <w:basedOn w:val="DefaultParagraphFont"/>
    <w:link w:val="Footer"/>
    <w:uiPriority w:val="99"/>
    <w:rsid w:val="007B309F"/>
  </w:style>
  <w:style w:type="character" w:styleId="PageNumber">
    <w:name w:val="page number"/>
    <w:basedOn w:val="DefaultParagraphFont"/>
    <w:uiPriority w:val="99"/>
    <w:semiHidden/>
    <w:unhideWhenUsed/>
    <w:rsid w:val="007B309F"/>
  </w:style>
  <w:style w:type="character" w:styleId="CommentReference">
    <w:name w:val="annotation reference"/>
    <w:basedOn w:val="DefaultParagraphFont"/>
    <w:uiPriority w:val="99"/>
    <w:semiHidden/>
    <w:unhideWhenUsed/>
    <w:rsid w:val="00E149DF"/>
    <w:rPr>
      <w:sz w:val="18"/>
      <w:szCs w:val="18"/>
    </w:rPr>
  </w:style>
  <w:style w:type="paragraph" w:styleId="CommentText">
    <w:name w:val="annotation text"/>
    <w:basedOn w:val="Normal"/>
    <w:link w:val="CommentTextChar"/>
    <w:uiPriority w:val="99"/>
    <w:unhideWhenUsed/>
    <w:rsid w:val="00E149DF"/>
  </w:style>
  <w:style w:type="character" w:customStyle="1" w:styleId="CommentTextChar">
    <w:name w:val="Comment Text Char"/>
    <w:basedOn w:val="DefaultParagraphFont"/>
    <w:link w:val="CommentText"/>
    <w:uiPriority w:val="99"/>
    <w:rsid w:val="00E149DF"/>
  </w:style>
  <w:style w:type="paragraph" w:styleId="BalloonText">
    <w:name w:val="Balloon Text"/>
    <w:basedOn w:val="Normal"/>
    <w:link w:val="BalloonTextChar"/>
    <w:uiPriority w:val="99"/>
    <w:semiHidden/>
    <w:unhideWhenUsed/>
    <w:rsid w:val="00E149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49DF"/>
    <w:rPr>
      <w:rFonts w:ascii="Lucida Grande" w:hAnsi="Lucida Grande" w:cs="Lucida Grande"/>
      <w:sz w:val="18"/>
      <w:szCs w:val="18"/>
    </w:rPr>
  </w:style>
  <w:style w:type="paragraph" w:styleId="ListParagraph">
    <w:name w:val="List Paragraph"/>
    <w:basedOn w:val="Normal"/>
    <w:uiPriority w:val="34"/>
    <w:qFormat/>
    <w:rsid w:val="000D743A"/>
    <w:pPr>
      <w:ind w:left="720"/>
      <w:contextualSpacing/>
    </w:pPr>
  </w:style>
  <w:style w:type="paragraph" w:customStyle="1" w:styleId="NoteLevel1">
    <w:name w:val="Note Level 1"/>
    <w:basedOn w:val="Normal"/>
    <w:uiPriority w:val="99"/>
    <w:unhideWhenUsed/>
    <w:rsid w:val="008F14DC"/>
    <w:pPr>
      <w:keepNext/>
      <w:numPr>
        <w:numId w:val="2"/>
      </w:numPr>
      <w:contextualSpacing/>
      <w:outlineLvl w:val="0"/>
    </w:pPr>
    <w:rPr>
      <w:rFonts w:ascii="Verdana" w:hAnsi="Verdana"/>
    </w:rPr>
  </w:style>
  <w:style w:type="paragraph" w:customStyle="1" w:styleId="NoteLevel2">
    <w:name w:val="Note Level 2"/>
    <w:basedOn w:val="Normal"/>
    <w:uiPriority w:val="99"/>
    <w:unhideWhenUsed/>
    <w:rsid w:val="008F14DC"/>
    <w:pPr>
      <w:keepNext/>
      <w:numPr>
        <w:ilvl w:val="1"/>
        <w:numId w:val="2"/>
      </w:numPr>
      <w:contextualSpacing/>
      <w:outlineLvl w:val="1"/>
    </w:pPr>
    <w:rPr>
      <w:rFonts w:ascii="Verdana" w:hAnsi="Verdana"/>
    </w:rPr>
  </w:style>
  <w:style w:type="paragraph" w:customStyle="1" w:styleId="NoteLevel3">
    <w:name w:val="Note Level 3"/>
    <w:basedOn w:val="Normal"/>
    <w:uiPriority w:val="99"/>
    <w:semiHidden/>
    <w:unhideWhenUsed/>
    <w:rsid w:val="008F14DC"/>
    <w:pPr>
      <w:keepNext/>
      <w:numPr>
        <w:ilvl w:val="2"/>
        <w:numId w:val="2"/>
      </w:numPr>
      <w:contextualSpacing/>
      <w:outlineLvl w:val="2"/>
    </w:pPr>
    <w:rPr>
      <w:rFonts w:ascii="Verdana" w:hAnsi="Verdana"/>
    </w:rPr>
  </w:style>
  <w:style w:type="paragraph" w:customStyle="1" w:styleId="NoteLevel4">
    <w:name w:val="Note Level 4"/>
    <w:basedOn w:val="Normal"/>
    <w:uiPriority w:val="99"/>
    <w:semiHidden/>
    <w:unhideWhenUsed/>
    <w:rsid w:val="008F14DC"/>
    <w:pPr>
      <w:keepNext/>
      <w:numPr>
        <w:ilvl w:val="3"/>
        <w:numId w:val="2"/>
      </w:numPr>
      <w:contextualSpacing/>
      <w:outlineLvl w:val="3"/>
    </w:pPr>
    <w:rPr>
      <w:rFonts w:ascii="Verdana" w:hAnsi="Verdana"/>
    </w:rPr>
  </w:style>
  <w:style w:type="paragraph" w:customStyle="1" w:styleId="NoteLevel5">
    <w:name w:val="Note Level 5"/>
    <w:basedOn w:val="Normal"/>
    <w:uiPriority w:val="99"/>
    <w:semiHidden/>
    <w:unhideWhenUsed/>
    <w:rsid w:val="008F14DC"/>
    <w:pPr>
      <w:keepNext/>
      <w:numPr>
        <w:ilvl w:val="4"/>
        <w:numId w:val="2"/>
      </w:numPr>
      <w:contextualSpacing/>
      <w:outlineLvl w:val="4"/>
    </w:pPr>
    <w:rPr>
      <w:rFonts w:ascii="Verdana" w:hAnsi="Verdana"/>
    </w:rPr>
  </w:style>
  <w:style w:type="paragraph" w:customStyle="1" w:styleId="NoteLevel6">
    <w:name w:val="Note Level 6"/>
    <w:basedOn w:val="Normal"/>
    <w:uiPriority w:val="99"/>
    <w:semiHidden/>
    <w:unhideWhenUsed/>
    <w:rsid w:val="008F14DC"/>
    <w:pPr>
      <w:keepNext/>
      <w:numPr>
        <w:ilvl w:val="5"/>
        <w:numId w:val="2"/>
      </w:numPr>
      <w:contextualSpacing/>
      <w:outlineLvl w:val="5"/>
    </w:pPr>
    <w:rPr>
      <w:rFonts w:ascii="Verdana" w:hAnsi="Verdana"/>
    </w:rPr>
  </w:style>
  <w:style w:type="paragraph" w:customStyle="1" w:styleId="NoteLevel7">
    <w:name w:val="Note Level 7"/>
    <w:basedOn w:val="Normal"/>
    <w:uiPriority w:val="99"/>
    <w:semiHidden/>
    <w:unhideWhenUsed/>
    <w:rsid w:val="008F14DC"/>
    <w:pPr>
      <w:keepNext/>
      <w:numPr>
        <w:ilvl w:val="6"/>
        <w:numId w:val="2"/>
      </w:numPr>
      <w:contextualSpacing/>
      <w:outlineLvl w:val="6"/>
    </w:pPr>
    <w:rPr>
      <w:rFonts w:ascii="Verdana" w:hAnsi="Verdana"/>
    </w:rPr>
  </w:style>
  <w:style w:type="paragraph" w:customStyle="1" w:styleId="NoteLevel8">
    <w:name w:val="Note Level 8"/>
    <w:basedOn w:val="Normal"/>
    <w:uiPriority w:val="99"/>
    <w:semiHidden/>
    <w:unhideWhenUsed/>
    <w:rsid w:val="008F14DC"/>
    <w:pPr>
      <w:keepNext/>
      <w:numPr>
        <w:ilvl w:val="7"/>
        <w:numId w:val="2"/>
      </w:numPr>
      <w:contextualSpacing/>
      <w:outlineLvl w:val="7"/>
    </w:pPr>
    <w:rPr>
      <w:rFonts w:ascii="Verdana" w:hAnsi="Verdana"/>
    </w:rPr>
  </w:style>
  <w:style w:type="paragraph" w:customStyle="1" w:styleId="NoteLevel9">
    <w:name w:val="Note Level 9"/>
    <w:basedOn w:val="Normal"/>
    <w:uiPriority w:val="99"/>
    <w:semiHidden/>
    <w:unhideWhenUsed/>
    <w:rsid w:val="008F14DC"/>
    <w:pPr>
      <w:keepNext/>
      <w:numPr>
        <w:ilvl w:val="8"/>
        <w:numId w:val="2"/>
      </w:numPr>
      <w:contextualSpacing/>
      <w:outlineLvl w:val="8"/>
    </w:pPr>
    <w:rPr>
      <w:rFonts w:ascii="Verdana" w:hAnsi="Verdana"/>
    </w:rPr>
  </w:style>
  <w:style w:type="paragraph" w:styleId="CommentSubject">
    <w:name w:val="annotation subject"/>
    <w:basedOn w:val="CommentText"/>
    <w:next w:val="CommentText"/>
    <w:link w:val="CommentSubjectChar"/>
    <w:uiPriority w:val="99"/>
    <w:semiHidden/>
    <w:unhideWhenUsed/>
    <w:rsid w:val="008F14DC"/>
    <w:rPr>
      <w:b/>
      <w:bCs/>
      <w:sz w:val="20"/>
      <w:szCs w:val="20"/>
    </w:rPr>
  </w:style>
  <w:style w:type="character" w:customStyle="1" w:styleId="CommentSubjectChar">
    <w:name w:val="Comment Subject Char"/>
    <w:basedOn w:val="CommentTextChar"/>
    <w:link w:val="CommentSubject"/>
    <w:uiPriority w:val="99"/>
    <w:semiHidden/>
    <w:rsid w:val="008F14DC"/>
    <w:rPr>
      <w:b/>
      <w:bCs/>
      <w:sz w:val="20"/>
      <w:szCs w:val="20"/>
    </w:rPr>
  </w:style>
  <w:style w:type="character" w:styleId="PlaceholderText">
    <w:name w:val="Placeholder Text"/>
    <w:basedOn w:val="DefaultParagraphFont"/>
    <w:uiPriority w:val="99"/>
    <w:semiHidden/>
    <w:rsid w:val="00266B51"/>
    <w:rPr>
      <w:color w:val="808080"/>
    </w:rPr>
  </w:style>
  <w:style w:type="paragraph" w:styleId="Header">
    <w:name w:val="header"/>
    <w:basedOn w:val="Normal"/>
    <w:link w:val="HeaderChar"/>
    <w:uiPriority w:val="99"/>
    <w:unhideWhenUsed/>
    <w:rsid w:val="00641670"/>
    <w:pPr>
      <w:tabs>
        <w:tab w:val="center" w:pos="4680"/>
        <w:tab w:val="right" w:pos="9360"/>
      </w:tabs>
    </w:pPr>
  </w:style>
  <w:style w:type="character" w:customStyle="1" w:styleId="HeaderChar">
    <w:name w:val="Header Char"/>
    <w:basedOn w:val="DefaultParagraphFont"/>
    <w:link w:val="Header"/>
    <w:uiPriority w:val="99"/>
    <w:rsid w:val="00641670"/>
  </w:style>
  <w:style w:type="character" w:styleId="FootnoteReference">
    <w:name w:val="footnote reference"/>
    <w:basedOn w:val="DefaultParagraphFont"/>
    <w:uiPriority w:val="99"/>
    <w:unhideWhenUsed/>
    <w:rsid w:val="00F213F2"/>
    <w:rPr>
      <w:vertAlign w:val="superscript"/>
    </w:rPr>
  </w:style>
  <w:style w:type="paragraph" w:styleId="Revision">
    <w:name w:val="Revision"/>
    <w:hidden/>
    <w:uiPriority w:val="99"/>
    <w:semiHidden/>
    <w:rsid w:val="00C73019"/>
  </w:style>
  <w:style w:type="paragraph" w:styleId="NormalWeb">
    <w:name w:val="Normal (Web)"/>
    <w:basedOn w:val="Normal"/>
    <w:uiPriority w:val="99"/>
    <w:semiHidden/>
    <w:unhideWhenUsed/>
    <w:rsid w:val="0039399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85AC5"/>
    <w:rPr>
      <w:color w:val="0000FF" w:themeColor="hyperlink"/>
      <w:u w:val="single"/>
    </w:rPr>
  </w:style>
  <w:style w:type="character" w:styleId="UnresolvedMention">
    <w:name w:val="Unresolved Mention"/>
    <w:basedOn w:val="DefaultParagraphFont"/>
    <w:uiPriority w:val="99"/>
    <w:semiHidden/>
    <w:unhideWhenUsed/>
    <w:rsid w:val="00885AC5"/>
    <w:rPr>
      <w:color w:val="605E5C"/>
      <w:shd w:val="clear" w:color="auto" w:fill="E1DFDD"/>
    </w:rPr>
  </w:style>
  <w:style w:type="character" w:styleId="FollowedHyperlink">
    <w:name w:val="FollowedHyperlink"/>
    <w:basedOn w:val="DefaultParagraphFont"/>
    <w:uiPriority w:val="99"/>
    <w:semiHidden/>
    <w:unhideWhenUsed/>
    <w:rsid w:val="00174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726115">
      <w:bodyDiv w:val="1"/>
      <w:marLeft w:val="0"/>
      <w:marRight w:val="0"/>
      <w:marTop w:val="0"/>
      <w:marBottom w:val="0"/>
      <w:divBdr>
        <w:top w:val="none" w:sz="0" w:space="0" w:color="auto"/>
        <w:left w:val="none" w:sz="0" w:space="0" w:color="auto"/>
        <w:bottom w:val="none" w:sz="0" w:space="0" w:color="auto"/>
        <w:right w:val="none" w:sz="0" w:space="0" w:color="auto"/>
      </w:divBdr>
    </w:div>
    <w:div w:id="1951158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E6BE-A697-1348-ADFC-A8AD49EE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Lo</dc:creator>
  <cp:keywords/>
  <dc:description/>
  <cp:lastModifiedBy>Bailey Hanna</cp:lastModifiedBy>
  <cp:revision>2</cp:revision>
  <cp:lastPrinted>2019-10-23T11:38:00Z</cp:lastPrinted>
  <dcterms:created xsi:type="dcterms:W3CDTF">2020-08-04T17:49:00Z</dcterms:created>
  <dcterms:modified xsi:type="dcterms:W3CDTF">2020-08-04T17:49:00Z</dcterms:modified>
</cp:coreProperties>
</file>