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02DE" w:rsidRPr="001B564A" w:rsidRDefault="001602DE" w:rsidP="001602DE">
      <w:pPr>
        <w:spacing w:line="480" w:lineRule="auto"/>
        <w:rPr>
          <w:b/>
        </w:rPr>
      </w:pPr>
      <w:r>
        <w:rPr>
          <w:b/>
        </w:rPr>
        <w:t xml:space="preserve">S2 </w:t>
      </w:r>
      <w:r w:rsidRPr="001B564A">
        <w:rPr>
          <w:b/>
        </w:rPr>
        <w:t>Table</w:t>
      </w:r>
      <w:bookmarkStart w:id="0" w:name="_GoBack"/>
      <w:bookmarkEnd w:id="0"/>
      <w:r w:rsidRPr="001B564A">
        <w:rPr>
          <w:b/>
        </w:rPr>
        <w:t>. Standard laboratory case definition by pathogen, as defined by the US Centers for Disease Control and Prevention/Council of State and Territorial Epidemiologists (CDC/CSTE) or the World Health Organization (WHO)</w:t>
      </w:r>
    </w:p>
    <w:tbl>
      <w:tblPr>
        <w:tblStyle w:val="TableGrid"/>
        <w:tblW w:w="10070" w:type="dxa"/>
        <w:tblLook w:val="04A0" w:firstRow="1" w:lastRow="0" w:firstColumn="1" w:lastColumn="0" w:noHBand="0" w:noVBand="1"/>
      </w:tblPr>
      <w:tblGrid>
        <w:gridCol w:w="1685"/>
        <w:gridCol w:w="1389"/>
        <w:gridCol w:w="2395"/>
        <w:gridCol w:w="1549"/>
        <w:gridCol w:w="3052"/>
      </w:tblGrid>
      <w:tr w:rsidR="001602DE" w:rsidRPr="001B564A" w:rsidTr="00A30F15">
        <w:trPr>
          <w:trHeight w:val="308"/>
        </w:trPr>
        <w:tc>
          <w:tcPr>
            <w:tcW w:w="1705" w:type="dxa"/>
            <w:vMerge w:val="restart"/>
            <w:noWrap/>
            <w:vAlign w:val="center"/>
            <w:hideMark/>
          </w:tcPr>
          <w:p w:rsidR="001602DE" w:rsidRPr="001B564A" w:rsidRDefault="001602DE" w:rsidP="00A30F15">
            <w:pPr>
              <w:spacing w:line="480" w:lineRule="auto"/>
              <w:jc w:val="center"/>
              <w:rPr>
                <w:b/>
                <w:bCs/>
              </w:rPr>
            </w:pPr>
            <w:r w:rsidRPr="001B564A">
              <w:rPr>
                <w:b/>
                <w:bCs/>
              </w:rPr>
              <w:t>Pathogen</w:t>
            </w:r>
          </w:p>
        </w:tc>
        <w:tc>
          <w:tcPr>
            <w:tcW w:w="8365" w:type="dxa"/>
            <w:gridSpan w:val="4"/>
            <w:noWrap/>
            <w:vAlign w:val="center"/>
            <w:hideMark/>
          </w:tcPr>
          <w:p w:rsidR="001602DE" w:rsidRPr="001B564A" w:rsidRDefault="001602DE" w:rsidP="00A30F15">
            <w:pPr>
              <w:spacing w:line="480" w:lineRule="auto"/>
              <w:jc w:val="center"/>
              <w:rPr>
                <w:b/>
                <w:bCs/>
              </w:rPr>
            </w:pPr>
            <w:r w:rsidRPr="001B564A">
              <w:rPr>
                <w:b/>
                <w:bCs/>
              </w:rPr>
              <w:t>Standard Case Definition</w:t>
            </w:r>
          </w:p>
        </w:tc>
      </w:tr>
      <w:tr w:rsidR="001602DE" w:rsidRPr="001B564A" w:rsidTr="00A30F15">
        <w:trPr>
          <w:trHeight w:val="308"/>
        </w:trPr>
        <w:tc>
          <w:tcPr>
            <w:tcW w:w="1705" w:type="dxa"/>
            <w:vMerge/>
            <w:vAlign w:val="center"/>
            <w:hideMark/>
          </w:tcPr>
          <w:p w:rsidR="001602DE" w:rsidRPr="001B564A" w:rsidRDefault="001602DE" w:rsidP="00A30F15">
            <w:pPr>
              <w:spacing w:line="480" w:lineRule="auto"/>
              <w:jc w:val="center"/>
              <w:rPr>
                <w:b/>
                <w:bCs/>
              </w:rPr>
            </w:pPr>
          </w:p>
        </w:tc>
        <w:tc>
          <w:tcPr>
            <w:tcW w:w="1296" w:type="dxa"/>
            <w:noWrap/>
            <w:vAlign w:val="center"/>
            <w:hideMark/>
          </w:tcPr>
          <w:p w:rsidR="001602DE" w:rsidRPr="001B564A" w:rsidRDefault="001602DE" w:rsidP="00A30F15">
            <w:pPr>
              <w:spacing w:line="480" w:lineRule="auto"/>
              <w:jc w:val="center"/>
              <w:rPr>
                <w:b/>
                <w:bCs/>
              </w:rPr>
            </w:pPr>
            <w:r w:rsidRPr="001B564A">
              <w:rPr>
                <w:b/>
                <w:bCs/>
              </w:rPr>
              <w:t>Culture</w:t>
            </w:r>
          </w:p>
        </w:tc>
        <w:tc>
          <w:tcPr>
            <w:tcW w:w="2424" w:type="dxa"/>
            <w:noWrap/>
            <w:vAlign w:val="center"/>
            <w:hideMark/>
          </w:tcPr>
          <w:p w:rsidR="001602DE" w:rsidRPr="001B564A" w:rsidRDefault="001602DE" w:rsidP="00A30F15">
            <w:pPr>
              <w:spacing w:line="480" w:lineRule="auto"/>
              <w:jc w:val="center"/>
              <w:rPr>
                <w:b/>
                <w:bCs/>
              </w:rPr>
            </w:pPr>
            <w:r w:rsidRPr="001B564A">
              <w:rPr>
                <w:b/>
                <w:bCs/>
              </w:rPr>
              <w:t>Serology</w:t>
            </w:r>
          </w:p>
        </w:tc>
        <w:tc>
          <w:tcPr>
            <w:tcW w:w="1556" w:type="dxa"/>
            <w:noWrap/>
            <w:vAlign w:val="center"/>
            <w:hideMark/>
          </w:tcPr>
          <w:p w:rsidR="001602DE" w:rsidRPr="001B564A" w:rsidRDefault="001602DE" w:rsidP="00A30F15">
            <w:pPr>
              <w:spacing w:line="480" w:lineRule="auto"/>
              <w:jc w:val="center"/>
              <w:rPr>
                <w:b/>
                <w:bCs/>
              </w:rPr>
            </w:pPr>
            <w:r w:rsidRPr="001B564A">
              <w:rPr>
                <w:b/>
                <w:bCs/>
              </w:rPr>
              <w:t>NAAT</w:t>
            </w:r>
          </w:p>
        </w:tc>
        <w:tc>
          <w:tcPr>
            <w:tcW w:w="3089" w:type="dxa"/>
            <w:noWrap/>
            <w:vAlign w:val="center"/>
            <w:hideMark/>
          </w:tcPr>
          <w:p w:rsidR="001602DE" w:rsidRPr="001B564A" w:rsidRDefault="001602DE" w:rsidP="00A30F15">
            <w:pPr>
              <w:spacing w:line="480" w:lineRule="auto"/>
              <w:jc w:val="center"/>
              <w:rPr>
                <w:b/>
                <w:bCs/>
              </w:rPr>
            </w:pPr>
            <w:r w:rsidRPr="001B564A">
              <w:rPr>
                <w:b/>
                <w:bCs/>
              </w:rPr>
              <w:t>Others (Microscopy, Antigen, Pathology, etc.)</w:t>
            </w:r>
          </w:p>
        </w:tc>
      </w:tr>
      <w:tr w:rsidR="001602DE" w:rsidRPr="001B564A" w:rsidTr="00A30F15">
        <w:trPr>
          <w:trHeight w:val="308"/>
        </w:trPr>
        <w:tc>
          <w:tcPr>
            <w:tcW w:w="1705" w:type="dxa"/>
            <w:noWrap/>
            <w:hideMark/>
          </w:tcPr>
          <w:p w:rsidR="001602DE" w:rsidRPr="001B564A" w:rsidRDefault="001602DE" w:rsidP="00A30F15">
            <w:pPr>
              <w:spacing w:line="480" w:lineRule="auto"/>
            </w:pPr>
            <w:r w:rsidRPr="001B564A">
              <w:t>Dengue virus</w:t>
            </w:r>
          </w:p>
        </w:tc>
        <w:tc>
          <w:tcPr>
            <w:tcW w:w="1296" w:type="dxa"/>
            <w:noWrap/>
            <w:hideMark/>
          </w:tcPr>
          <w:p w:rsidR="001602DE" w:rsidRPr="001B564A" w:rsidRDefault="001602DE" w:rsidP="00A30F15">
            <w:pPr>
              <w:spacing w:line="480" w:lineRule="auto"/>
            </w:pPr>
            <w:r w:rsidRPr="001B564A">
              <w:t>Viral culture and Isolation from serum, plasma, or CSF</w:t>
            </w:r>
          </w:p>
        </w:tc>
        <w:tc>
          <w:tcPr>
            <w:tcW w:w="2424" w:type="dxa"/>
            <w:noWrap/>
            <w:hideMark/>
          </w:tcPr>
          <w:p w:rsidR="001602DE" w:rsidRPr="001B564A" w:rsidRDefault="001602DE" w:rsidP="00A30F15">
            <w:pPr>
              <w:spacing w:line="480" w:lineRule="auto"/>
            </w:pPr>
            <w:r w:rsidRPr="001B564A">
              <w:t xml:space="preserve">IgM anti-DENV seroconversion by immunoassay in acute and convalescent, IgG anti-DENV seroconversion; </w:t>
            </w:r>
            <w:r w:rsidRPr="001B564A">
              <w:rPr>
                <w:b/>
              </w:rPr>
              <w:t>OR</w:t>
            </w:r>
            <w:r w:rsidRPr="001B564A">
              <w:t xml:space="preserve"> ≥4-fold rise in titer in serum specimens collected &gt;2 weeks apart, and confirmed by a neutralization test with a &gt;4-fold higher end point titer as compared to other flaviviruses tested</w:t>
            </w:r>
          </w:p>
        </w:tc>
        <w:tc>
          <w:tcPr>
            <w:tcW w:w="1556" w:type="dxa"/>
            <w:noWrap/>
            <w:hideMark/>
          </w:tcPr>
          <w:p w:rsidR="001602DE" w:rsidRPr="001B564A" w:rsidRDefault="001602DE" w:rsidP="00A30F15">
            <w:pPr>
              <w:spacing w:line="480" w:lineRule="auto"/>
            </w:pPr>
            <w:r w:rsidRPr="001B564A">
              <w:t>Detection of DENV nucleic acid in serum, plasma, blood, cerebrospinal fluid (CSF), other body fluid or tissue</w:t>
            </w:r>
          </w:p>
        </w:tc>
        <w:tc>
          <w:tcPr>
            <w:tcW w:w="3089" w:type="dxa"/>
            <w:noWrap/>
            <w:hideMark/>
          </w:tcPr>
          <w:p w:rsidR="001602DE" w:rsidRPr="001B564A" w:rsidRDefault="001602DE" w:rsidP="00A30F15">
            <w:pPr>
              <w:spacing w:line="480" w:lineRule="auto"/>
            </w:pPr>
            <w:r w:rsidRPr="001B564A">
              <w:t xml:space="preserve">Detection in serum or plasma of DENV NS1 antigen; </w:t>
            </w:r>
            <w:r w:rsidRPr="001B564A">
              <w:rPr>
                <w:b/>
              </w:rPr>
              <w:t>OR</w:t>
            </w:r>
            <w:r w:rsidRPr="001B564A">
              <w:t xml:space="preserve"> Detection of DENV antigens in tissue by immunofluorescence or immunohistochemistry assay</w:t>
            </w:r>
          </w:p>
        </w:tc>
      </w:tr>
      <w:tr w:rsidR="001602DE" w:rsidRPr="001B564A" w:rsidTr="00A30F15">
        <w:trPr>
          <w:trHeight w:val="308"/>
        </w:trPr>
        <w:tc>
          <w:tcPr>
            <w:tcW w:w="1705" w:type="dxa"/>
            <w:noWrap/>
          </w:tcPr>
          <w:p w:rsidR="001602DE" w:rsidRPr="001B564A" w:rsidRDefault="001602DE" w:rsidP="00A30F15">
            <w:pPr>
              <w:spacing w:line="480" w:lineRule="auto"/>
            </w:pPr>
            <w:r w:rsidRPr="001B564A">
              <w:t>Chikungunya virus</w:t>
            </w:r>
          </w:p>
        </w:tc>
        <w:tc>
          <w:tcPr>
            <w:tcW w:w="1296" w:type="dxa"/>
            <w:noWrap/>
          </w:tcPr>
          <w:p w:rsidR="001602DE" w:rsidRPr="001B564A" w:rsidRDefault="001602DE" w:rsidP="00A30F15">
            <w:pPr>
              <w:spacing w:line="480" w:lineRule="auto"/>
            </w:pPr>
            <w:r w:rsidRPr="001B564A">
              <w:t xml:space="preserve">Virus isolation from blood in the first </w:t>
            </w:r>
            <w:r w:rsidRPr="001B564A">
              <w:lastRenderedPageBreak/>
              <w:t>few days of illness</w:t>
            </w:r>
          </w:p>
        </w:tc>
        <w:tc>
          <w:tcPr>
            <w:tcW w:w="2424" w:type="dxa"/>
            <w:noWrap/>
          </w:tcPr>
          <w:p w:rsidR="001602DE" w:rsidRPr="001B564A" w:rsidRDefault="001602DE" w:rsidP="00A30F15">
            <w:pPr>
              <w:spacing w:line="480" w:lineRule="auto"/>
            </w:pPr>
            <w:r w:rsidRPr="001B564A">
              <w:lastRenderedPageBreak/>
              <w:t xml:space="preserve">Four-fold or greater change in virus-specific quantitative antibody titers in paired sera; </w:t>
            </w:r>
            <w:r w:rsidRPr="001B564A">
              <w:rPr>
                <w:b/>
              </w:rPr>
              <w:t>OR</w:t>
            </w:r>
            <w:r w:rsidRPr="001B564A">
              <w:t xml:space="preserve"> </w:t>
            </w:r>
            <w:r w:rsidRPr="001B564A">
              <w:lastRenderedPageBreak/>
              <w:t xml:space="preserve">virus specific IgM antibodies in serum with confirmatory virus-specific neutralizing antibodies in the same or a later specimen; </w:t>
            </w:r>
            <w:r w:rsidRPr="001B564A">
              <w:rPr>
                <w:b/>
              </w:rPr>
              <w:t>OR</w:t>
            </w:r>
            <w:r w:rsidRPr="001B564A">
              <w:t xml:space="preserve"> virus-specific IgM antibodies in CSF or serum </w:t>
            </w:r>
          </w:p>
        </w:tc>
        <w:tc>
          <w:tcPr>
            <w:tcW w:w="1556" w:type="dxa"/>
            <w:noWrap/>
          </w:tcPr>
          <w:p w:rsidR="001602DE" w:rsidRPr="001B564A" w:rsidRDefault="001602DE" w:rsidP="00A30F15">
            <w:pPr>
              <w:spacing w:line="480" w:lineRule="auto"/>
            </w:pPr>
            <w:r w:rsidRPr="001B564A">
              <w:lastRenderedPageBreak/>
              <w:t xml:space="preserve">Demonstration of nucleic acid in tissue, blood, CSF or </w:t>
            </w:r>
            <w:r w:rsidRPr="001B564A">
              <w:lastRenderedPageBreak/>
              <w:t>other body fluid</w:t>
            </w:r>
          </w:p>
        </w:tc>
        <w:tc>
          <w:tcPr>
            <w:tcW w:w="3089" w:type="dxa"/>
            <w:noWrap/>
          </w:tcPr>
          <w:p w:rsidR="001602DE" w:rsidRPr="001B564A" w:rsidRDefault="001602DE" w:rsidP="00A30F15">
            <w:pPr>
              <w:spacing w:line="480" w:lineRule="auto"/>
            </w:pPr>
            <w:r w:rsidRPr="001B564A">
              <w:lastRenderedPageBreak/>
              <w:t>Demonstration of specific viral antigen in tissue, blood, CSF, or other body fluid</w:t>
            </w:r>
          </w:p>
        </w:tc>
      </w:tr>
      <w:tr w:rsidR="001602DE" w:rsidRPr="001B564A" w:rsidTr="00A30F15">
        <w:trPr>
          <w:trHeight w:val="308"/>
        </w:trPr>
        <w:tc>
          <w:tcPr>
            <w:tcW w:w="1705" w:type="dxa"/>
            <w:noWrap/>
            <w:hideMark/>
          </w:tcPr>
          <w:p w:rsidR="001602DE" w:rsidRPr="001B564A" w:rsidRDefault="001602DE" w:rsidP="00A30F15">
            <w:pPr>
              <w:spacing w:line="480" w:lineRule="auto"/>
            </w:pPr>
            <w:r w:rsidRPr="001B564A">
              <w:rPr>
                <w:i/>
              </w:rPr>
              <w:t>Plasmodium</w:t>
            </w:r>
            <w:r w:rsidRPr="001B564A">
              <w:t xml:space="preserve"> </w:t>
            </w:r>
            <w:proofErr w:type="spellStart"/>
            <w:r w:rsidRPr="001B564A">
              <w:t>spp</w:t>
            </w:r>
            <w:proofErr w:type="spellEnd"/>
            <w:r w:rsidRPr="001B564A">
              <w:t xml:space="preserve"> (malaria)</w:t>
            </w:r>
          </w:p>
        </w:tc>
        <w:tc>
          <w:tcPr>
            <w:tcW w:w="1296" w:type="dxa"/>
            <w:noWrap/>
            <w:hideMark/>
          </w:tcPr>
          <w:p w:rsidR="001602DE" w:rsidRPr="001B564A" w:rsidRDefault="001602DE" w:rsidP="00A30F15">
            <w:pPr>
              <w:spacing w:line="480" w:lineRule="auto"/>
            </w:pPr>
          </w:p>
        </w:tc>
        <w:tc>
          <w:tcPr>
            <w:tcW w:w="2424" w:type="dxa"/>
            <w:noWrap/>
            <w:hideMark/>
          </w:tcPr>
          <w:p w:rsidR="001602DE" w:rsidRPr="001B564A" w:rsidRDefault="001602DE" w:rsidP="00A30F15">
            <w:pPr>
              <w:spacing w:line="480" w:lineRule="auto"/>
            </w:pPr>
          </w:p>
        </w:tc>
        <w:tc>
          <w:tcPr>
            <w:tcW w:w="1556" w:type="dxa"/>
            <w:noWrap/>
            <w:hideMark/>
          </w:tcPr>
          <w:p w:rsidR="001602DE" w:rsidRPr="001B564A" w:rsidRDefault="001602DE" w:rsidP="00A30F15">
            <w:pPr>
              <w:spacing w:line="480" w:lineRule="auto"/>
            </w:pPr>
            <w:r w:rsidRPr="001B564A">
              <w:t xml:space="preserve">Detection of </w:t>
            </w:r>
            <w:r w:rsidRPr="001B564A">
              <w:rPr>
                <w:i/>
              </w:rPr>
              <w:t>Plasmodium</w:t>
            </w:r>
            <w:r w:rsidRPr="001B564A">
              <w:t xml:space="preserve"> </w:t>
            </w:r>
            <w:proofErr w:type="spellStart"/>
            <w:r w:rsidRPr="001B564A">
              <w:t>spp</w:t>
            </w:r>
            <w:proofErr w:type="spellEnd"/>
            <w:r w:rsidRPr="001B564A">
              <w:t xml:space="preserve"> by nucleic acid test</w:t>
            </w:r>
          </w:p>
        </w:tc>
        <w:tc>
          <w:tcPr>
            <w:tcW w:w="3089" w:type="dxa"/>
            <w:noWrap/>
          </w:tcPr>
          <w:p w:rsidR="001602DE" w:rsidRPr="001B564A" w:rsidRDefault="001602DE" w:rsidP="00A30F15">
            <w:pPr>
              <w:spacing w:line="480" w:lineRule="auto"/>
            </w:pPr>
            <w:r w:rsidRPr="001B564A">
              <w:t xml:space="preserve">Malaria rapid diagnostic test; </w:t>
            </w:r>
            <w:r w:rsidRPr="001B564A">
              <w:rPr>
                <w:b/>
              </w:rPr>
              <w:t>OR</w:t>
            </w:r>
          </w:p>
          <w:p w:rsidR="001602DE" w:rsidRPr="001B564A" w:rsidRDefault="001602DE" w:rsidP="00A30F15">
            <w:pPr>
              <w:spacing w:line="480" w:lineRule="auto"/>
            </w:pPr>
            <w:r w:rsidRPr="001B564A">
              <w:t>Detection and specific identification of malaria parasite species by microscopy on blood films</w:t>
            </w:r>
          </w:p>
        </w:tc>
      </w:tr>
      <w:tr w:rsidR="001602DE" w:rsidRPr="001B564A" w:rsidTr="00A30F15">
        <w:trPr>
          <w:trHeight w:val="308"/>
        </w:trPr>
        <w:tc>
          <w:tcPr>
            <w:tcW w:w="1705" w:type="dxa"/>
            <w:noWrap/>
            <w:hideMark/>
          </w:tcPr>
          <w:p w:rsidR="001602DE" w:rsidRPr="001B564A" w:rsidRDefault="001602DE" w:rsidP="00A30F15">
            <w:pPr>
              <w:spacing w:line="480" w:lineRule="auto"/>
            </w:pPr>
            <w:r w:rsidRPr="001B564A">
              <w:rPr>
                <w:i/>
              </w:rPr>
              <w:t>Rickettsia</w:t>
            </w:r>
            <w:r w:rsidRPr="001B564A">
              <w:t xml:space="preserve"> </w:t>
            </w:r>
            <w:proofErr w:type="spellStart"/>
            <w:r w:rsidRPr="001B564A">
              <w:t>spp</w:t>
            </w:r>
            <w:proofErr w:type="spellEnd"/>
          </w:p>
        </w:tc>
        <w:tc>
          <w:tcPr>
            <w:tcW w:w="1296" w:type="dxa"/>
            <w:noWrap/>
            <w:hideMark/>
          </w:tcPr>
          <w:p w:rsidR="001602DE" w:rsidRPr="001B564A" w:rsidRDefault="001602DE" w:rsidP="00A30F15">
            <w:pPr>
              <w:spacing w:line="480" w:lineRule="auto"/>
            </w:pPr>
            <w:r w:rsidRPr="001B564A">
              <w:t xml:space="preserve">Isolation of </w:t>
            </w:r>
            <w:r w:rsidRPr="001B564A">
              <w:rPr>
                <w:i/>
              </w:rPr>
              <w:t>Rickettsia</w:t>
            </w:r>
            <w:r w:rsidRPr="001B564A">
              <w:t xml:space="preserve"> </w:t>
            </w:r>
            <w:proofErr w:type="spellStart"/>
            <w:r w:rsidRPr="001B564A">
              <w:t>spp</w:t>
            </w:r>
            <w:proofErr w:type="spellEnd"/>
            <w:r w:rsidRPr="001B564A" w:rsidDel="00C31CFC">
              <w:t xml:space="preserve"> </w:t>
            </w:r>
            <w:r w:rsidRPr="001B564A">
              <w:t>from a clinical specimen in cell culture</w:t>
            </w:r>
          </w:p>
        </w:tc>
        <w:tc>
          <w:tcPr>
            <w:tcW w:w="2424" w:type="dxa"/>
            <w:noWrap/>
            <w:hideMark/>
          </w:tcPr>
          <w:p w:rsidR="001602DE" w:rsidRPr="001B564A" w:rsidRDefault="001602DE" w:rsidP="00A30F15">
            <w:pPr>
              <w:spacing w:line="480" w:lineRule="auto"/>
            </w:pPr>
            <w:r w:rsidRPr="001B564A">
              <w:t>4-fold increase in immunoglobulin G (IgG)-specific antibody titer by indirect immunofluorescence assay between acute and convalescent phase specimens</w:t>
            </w:r>
          </w:p>
        </w:tc>
        <w:tc>
          <w:tcPr>
            <w:tcW w:w="1556" w:type="dxa"/>
            <w:noWrap/>
            <w:hideMark/>
          </w:tcPr>
          <w:p w:rsidR="001602DE" w:rsidRPr="001B564A" w:rsidRDefault="001602DE" w:rsidP="00A30F15">
            <w:pPr>
              <w:spacing w:line="480" w:lineRule="auto"/>
            </w:pPr>
            <w:r w:rsidRPr="001B564A">
              <w:t>Detection of DNA in a clinical specimen via amplification of a specific target</w:t>
            </w:r>
          </w:p>
        </w:tc>
        <w:tc>
          <w:tcPr>
            <w:tcW w:w="3089" w:type="dxa"/>
            <w:noWrap/>
            <w:hideMark/>
          </w:tcPr>
          <w:p w:rsidR="001602DE" w:rsidRPr="001B564A" w:rsidRDefault="001602DE" w:rsidP="00A30F15">
            <w:pPr>
              <w:spacing w:line="480" w:lineRule="auto"/>
            </w:pPr>
            <w:r w:rsidRPr="001B564A">
              <w:t>Demonstration of antigen in a biopsy or autopsy specimen by IHC</w:t>
            </w:r>
          </w:p>
        </w:tc>
      </w:tr>
      <w:tr w:rsidR="001602DE" w:rsidRPr="001B564A" w:rsidTr="00A30F15">
        <w:trPr>
          <w:trHeight w:val="308"/>
        </w:trPr>
        <w:tc>
          <w:tcPr>
            <w:tcW w:w="1705" w:type="dxa"/>
            <w:noWrap/>
          </w:tcPr>
          <w:p w:rsidR="001602DE" w:rsidRPr="001B564A" w:rsidRDefault="001602DE" w:rsidP="00A30F15">
            <w:pPr>
              <w:spacing w:line="480" w:lineRule="auto"/>
              <w:rPr>
                <w:i/>
              </w:rPr>
            </w:pPr>
            <w:proofErr w:type="spellStart"/>
            <w:r w:rsidRPr="001B564A">
              <w:rPr>
                <w:i/>
              </w:rPr>
              <w:t>Orientia</w:t>
            </w:r>
            <w:proofErr w:type="spellEnd"/>
            <w:r w:rsidRPr="001B564A">
              <w:rPr>
                <w:i/>
              </w:rPr>
              <w:t xml:space="preserve"> tsutsugamushi</w:t>
            </w:r>
          </w:p>
        </w:tc>
        <w:tc>
          <w:tcPr>
            <w:tcW w:w="1296" w:type="dxa"/>
            <w:noWrap/>
          </w:tcPr>
          <w:p w:rsidR="001602DE" w:rsidRPr="001B564A" w:rsidRDefault="001602DE" w:rsidP="00A30F15">
            <w:pPr>
              <w:spacing w:line="480" w:lineRule="auto"/>
            </w:pPr>
            <w:r w:rsidRPr="001B564A">
              <w:t>Culture and Isolation</w:t>
            </w:r>
          </w:p>
        </w:tc>
        <w:tc>
          <w:tcPr>
            <w:tcW w:w="2424" w:type="dxa"/>
            <w:noWrap/>
          </w:tcPr>
          <w:p w:rsidR="001602DE" w:rsidRPr="001B564A" w:rsidRDefault="001602DE" w:rsidP="00A30F15">
            <w:pPr>
              <w:spacing w:line="480" w:lineRule="auto"/>
            </w:pPr>
            <w:r w:rsidRPr="001B564A">
              <w:t xml:space="preserve">4-fold increase in immunoglobulin </w:t>
            </w:r>
            <w:r w:rsidRPr="001B564A">
              <w:lastRenderedPageBreak/>
              <w:t>specific antibody titer by indirect immunofluorescence assay between acute and convalescent phase specimens</w:t>
            </w:r>
          </w:p>
        </w:tc>
        <w:tc>
          <w:tcPr>
            <w:tcW w:w="1556" w:type="dxa"/>
            <w:noWrap/>
          </w:tcPr>
          <w:p w:rsidR="001602DE" w:rsidRPr="001B564A" w:rsidRDefault="001602DE" w:rsidP="00A30F15">
            <w:pPr>
              <w:spacing w:line="480" w:lineRule="auto"/>
            </w:pPr>
            <w:r w:rsidRPr="001B564A">
              <w:lastRenderedPageBreak/>
              <w:t xml:space="preserve">Detection of DNA in a </w:t>
            </w:r>
            <w:r w:rsidRPr="001B564A">
              <w:lastRenderedPageBreak/>
              <w:t xml:space="preserve">whole blood, eschar swab, or tissue sample via amplification of a specific target  </w:t>
            </w:r>
          </w:p>
        </w:tc>
        <w:tc>
          <w:tcPr>
            <w:tcW w:w="3089" w:type="dxa"/>
            <w:noWrap/>
          </w:tcPr>
          <w:p w:rsidR="001602DE" w:rsidRPr="001B564A" w:rsidRDefault="001602DE" w:rsidP="00A30F15">
            <w:pPr>
              <w:spacing w:line="480" w:lineRule="auto"/>
            </w:pPr>
            <w:r w:rsidRPr="001B564A">
              <w:lastRenderedPageBreak/>
              <w:t>Immunostaining on formalin-fixed tissue samples</w:t>
            </w:r>
          </w:p>
        </w:tc>
      </w:tr>
      <w:tr w:rsidR="001602DE" w:rsidRPr="001B564A" w:rsidTr="00A30F15">
        <w:trPr>
          <w:trHeight w:val="308"/>
        </w:trPr>
        <w:tc>
          <w:tcPr>
            <w:tcW w:w="1705" w:type="dxa"/>
            <w:noWrap/>
          </w:tcPr>
          <w:p w:rsidR="001602DE" w:rsidRPr="001B564A" w:rsidRDefault="001602DE" w:rsidP="00A30F15">
            <w:pPr>
              <w:spacing w:line="480" w:lineRule="auto"/>
            </w:pPr>
            <w:r w:rsidRPr="001B564A">
              <w:t xml:space="preserve">Acute </w:t>
            </w:r>
            <w:r w:rsidRPr="001B564A">
              <w:rPr>
                <w:i/>
              </w:rPr>
              <w:t xml:space="preserve">Coxiella </w:t>
            </w:r>
            <w:proofErr w:type="spellStart"/>
            <w:r w:rsidRPr="001B564A">
              <w:rPr>
                <w:i/>
              </w:rPr>
              <w:t>burnetii</w:t>
            </w:r>
            <w:proofErr w:type="spellEnd"/>
          </w:p>
        </w:tc>
        <w:tc>
          <w:tcPr>
            <w:tcW w:w="1296" w:type="dxa"/>
            <w:noWrap/>
          </w:tcPr>
          <w:p w:rsidR="001602DE" w:rsidRPr="001B564A" w:rsidRDefault="001602DE" w:rsidP="00A30F15">
            <w:pPr>
              <w:spacing w:line="480" w:lineRule="auto"/>
            </w:pPr>
            <w:r w:rsidRPr="001B564A">
              <w:t>Isolation of from a clinical specimen by culture</w:t>
            </w:r>
          </w:p>
        </w:tc>
        <w:tc>
          <w:tcPr>
            <w:tcW w:w="2424" w:type="dxa"/>
            <w:noWrap/>
          </w:tcPr>
          <w:p w:rsidR="001602DE" w:rsidRPr="001B564A" w:rsidRDefault="001602DE" w:rsidP="00A30F15">
            <w:pPr>
              <w:spacing w:line="480" w:lineRule="auto"/>
            </w:pPr>
            <w:r w:rsidRPr="001B564A">
              <w:t>4-fold increase in immunoglobulin G specific antibody titer by indirect immunofluorescence assay between acute and convalescent phase specimens</w:t>
            </w:r>
          </w:p>
        </w:tc>
        <w:tc>
          <w:tcPr>
            <w:tcW w:w="1556" w:type="dxa"/>
            <w:noWrap/>
          </w:tcPr>
          <w:p w:rsidR="001602DE" w:rsidRPr="001B564A" w:rsidRDefault="001602DE" w:rsidP="00A30F15">
            <w:pPr>
              <w:spacing w:line="480" w:lineRule="auto"/>
            </w:pPr>
            <w:r w:rsidRPr="001B564A">
              <w:t>Detection of DNA in a clinical specimen via amplification of a specific target</w:t>
            </w:r>
          </w:p>
        </w:tc>
        <w:tc>
          <w:tcPr>
            <w:tcW w:w="3089" w:type="dxa"/>
            <w:noWrap/>
          </w:tcPr>
          <w:p w:rsidR="001602DE" w:rsidRPr="001B564A" w:rsidRDefault="001602DE" w:rsidP="00A30F15">
            <w:pPr>
              <w:spacing w:line="480" w:lineRule="auto"/>
            </w:pPr>
            <w:r w:rsidRPr="001B564A">
              <w:t>Demonstration in a clinical specimen by immunohistochemical methods</w:t>
            </w:r>
          </w:p>
        </w:tc>
      </w:tr>
      <w:tr w:rsidR="001602DE" w:rsidRPr="001B564A" w:rsidTr="00A30F15">
        <w:trPr>
          <w:trHeight w:val="308"/>
        </w:trPr>
        <w:tc>
          <w:tcPr>
            <w:tcW w:w="1705" w:type="dxa"/>
            <w:noWrap/>
            <w:hideMark/>
          </w:tcPr>
          <w:p w:rsidR="001602DE" w:rsidRPr="001B564A" w:rsidRDefault="001602DE" w:rsidP="00A30F15">
            <w:pPr>
              <w:spacing w:line="480" w:lineRule="auto"/>
              <w:rPr>
                <w:i/>
              </w:rPr>
            </w:pPr>
            <w:r w:rsidRPr="001B564A">
              <w:rPr>
                <w:i/>
              </w:rPr>
              <w:t>Salmonella enterica</w:t>
            </w:r>
            <w:r w:rsidRPr="001B564A">
              <w:t xml:space="preserve"> serovar Typhi</w:t>
            </w:r>
          </w:p>
        </w:tc>
        <w:tc>
          <w:tcPr>
            <w:tcW w:w="1296" w:type="dxa"/>
            <w:noWrap/>
            <w:hideMark/>
          </w:tcPr>
          <w:p w:rsidR="001602DE" w:rsidRPr="001B564A" w:rsidRDefault="001602DE" w:rsidP="00A30F15">
            <w:pPr>
              <w:spacing w:line="480" w:lineRule="auto"/>
            </w:pPr>
            <w:r w:rsidRPr="001B564A">
              <w:t xml:space="preserve">Isolation of </w:t>
            </w:r>
            <w:r w:rsidRPr="001B564A">
              <w:rPr>
                <w:i/>
              </w:rPr>
              <w:t>S.</w:t>
            </w:r>
            <w:r w:rsidRPr="001B564A">
              <w:t xml:space="preserve"> Typhi from blood, stool, or other clinical specimen</w:t>
            </w:r>
          </w:p>
        </w:tc>
        <w:tc>
          <w:tcPr>
            <w:tcW w:w="2424" w:type="dxa"/>
            <w:noWrap/>
            <w:hideMark/>
          </w:tcPr>
          <w:p w:rsidR="001602DE" w:rsidRPr="001B564A" w:rsidRDefault="001602DE" w:rsidP="00A30F15">
            <w:pPr>
              <w:spacing w:line="480" w:lineRule="auto"/>
            </w:pPr>
          </w:p>
        </w:tc>
        <w:tc>
          <w:tcPr>
            <w:tcW w:w="1556" w:type="dxa"/>
            <w:noWrap/>
            <w:hideMark/>
          </w:tcPr>
          <w:p w:rsidR="001602DE" w:rsidRPr="001B564A" w:rsidRDefault="001602DE" w:rsidP="00A30F15">
            <w:pPr>
              <w:spacing w:line="480" w:lineRule="auto"/>
            </w:pPr>
          </w:p>
        </w:tc>
        <w:tc>
          <w:tcPr>
            <w:tcW w:w="3089" w:type="dxa"/>
            <w:noWrap/>
            <w:hideMark/>
          </w:tcPr>
          <w:p w:rsidR="001602DE" w:rsidRPr="001B564A" w:rsidRDefault="001602DE" w:rsidP="00A30F15">
            <w:pPr>
              <w:spacing w:line="480" w:lineRule="auto"/>
            </w:pPr>
          </w:p>
        </w:tc>
      </w:tr>
      <w:tr w:rsidR="001602DE" w:rsidRPr="001B564A" w:rsidTr="00A30F15">
        <w:trPr>
          <w:trHeight w:val="308"/>
        </w:trPr>
        <w:tc>
          <w:tcPr>
            <w:tcW w:w="1705" w:type="dxa"/>
            <w:noWrap/>
          </w:tcPr>
          <w:p w:rsidR="001602DE" w:rsidRPr="001B564A" w:rsidRDefault="001602DE" w:rsidP="00A30F15">
            <w:pPr>
              <w:spacing w:line="480" w:lineRule="auto"/>
            </w:pPr>
            <w:r w:rsidRPr="001B564A">
              <w:rPr>
                <w:i/>
              </w:rPr>
              <w:t>Leptospira</w:t>
            </w:r>
            <w:r w:rsidRPr="001B564A">
              <w:t xml:space="preserve"> spp.</w:t>
            </w:r>
          </w:p>
        </w:tc>
        <w:tc>
          <w:tcPr>
            <w:tcW w:w="1296" w:type="dxa"/>
            <w:noWrap/>
          </w:tcPr>
          <w:p w:rsidR="001602DE" w:rsidRPr="001B564A" w:rsidRDefault="001602DE" w:rsidP="00A30F15">
            <w:pPr>
              <w:spacing w:line="480" w:lineRule="auto"/>
            </w:pPr>
            <w:r w:rsidRPr="001B564A">
              <w:t>Isolation from a clinical specimen</w:t>
            </w:r>
          </w:p>
        </w:tc>
        <w:tc>
          <w:tcPr>
            <w:tcW w:w="2424" w:type="dxa"/>
            <w:noWrap/>
          </w:tcPr>
          <w:p w:rsidR="001602DE" w:rsidRPr="001B564A" w:rsidRDefault="001602DE" w:rsidP="00A30F15">
            <w:pPr>
              <w:spacing w:line="480" w:lineRule="auto"/>
            </w:pPr>
            <w:r w:rsidRPr="001B564A">
              <w:t xml:space="preserve">4-fold increase in </w:t>
            </w:r>
            <w:r w:rsidRPr="001B564A">
              <w:rPr>
                <w:i/>
              </w:rPr>
              <w:t>Leptospira</w:t>
            </w:r>
            <w:r w:rsidRPr="001B564A">
              <w:t xml:space="preserve"> agglutination titer between acute and convalescent phase </w:t>
            </w:r>
            <w:r w:rsidRPr="001B564A">
              <w:lastRenderedPageBreak/>
              <w:t xml:space="preserve">specimens, </w:t>
            </w:r>
            <w:r w:rsidRPr="001B564A">
              <w:rPr>
                <w:i/>
              </w:rPr>
              <w:t>Leptospira</w:t>
            </w:r>
            <w:r w:rsidRPr="001B564A">
              <w:t xml:space="preserve"> agglutination titer of ≥ 800 by Microscopic Agglutination Test (MAT)</w:t>
            </w:r>
          </w:p>
        </w:tc>
        <w:tc>
          <w:tcPr>
            <w:tcW w:w="1556" w:type="dxa"/>
            <w:noWrap/>
          </w:tcPr>
          <w:p w:rsidR="001602DE" w:rsidRPr="001B564A" w:rsidRDefault="001602DE" w:rsidP="00A30F15">
            <w:pPr>
              <w:spacing w:line="480" w:lineRule="auto"/>
            </w:pPr>
            <w:r w:rsidRPr="001B564A">
              <w:lastRenderedPageBreak/>
              <w:t xml:space="preserve">Detection of pathogenic </w:t>
            </w:r>
            <w:r w:rsidRPr="001B564A">
              <w:rPr>
                <w:i/>
              </w:rPr>
              <w:t>Leptospira</w:t>
            </w:r>
            <w:r w:rsidRPr="001B564A">
              <w:t xml:space="preserve"> DNA from a </w:t>
            </w:r>
            <w:r w:rsidRPr="001B564A">
              <w:lastRenderedPageBreak/>
              <w:t>clinical specimen</w:t>
            </w:r>
          </w:p>
        </w:tc>
        <w:tc>
          <w:tcPr>
            <w:tcW w:w="3089" w:type="dxa"/>
            <w:noWrap/>
          </w:tcPr>
          <w:p w:rsidR="001602DE" w:rsidRPr="001B564A" w:rsidRDefault="001602DE" w:rsidP="00A30F15">
            <w:pPr>
              <w:spacing w:line="480" w:lineRule="auto"/>
            </w:pPr>
            <w:r w:rsidRPr="001B564A">
              <w:lastRenderedPageBreak/>
              <w:t>Demonstration a in tissue by direct immunofluorescence</w:t>
            </w:r>
          </w:p>
        </w:tc>
      </w:tr>
      <w:tr w:rsidR="001602DE" w:rsidRPr="001B564A" w:rsidTr="00A30F15">
        <w:trPr>
          <w:trHeight w:val="308"/>
        </w:trPr>
        <w:tc>
          <w:tcPr>
            <w:tcW w:w="1705" w:type="dxa"/>
            <w:noWrap/>
          </w:tcPr>
          <w:p w:rsidR="001602DE" w:rsidRPr="001B564A" w:rsidRDefault="001602DE" w:rsidP="00A30F15">
            <w:pPr>
              <w:spacing w:line="480" w:lineRule="auto"/>
            </w:pPr>
            <w:r w:rsidRPr="001B564A">
              <w:rPr>
                <w:i/>
              </w:rPr>
              <w:t>Brucella</w:t>
            </w:r>
            <w:r w:rsidRPr="001B564A">
              <w:t xml:space="preserve"> spp.</w:t>
            </w:r>
          </w:p>
        </w:tc>
        <w:tc>
          <w:tcPr>
            <w:tcW w:w="1296" w:type="dxa"/>
            <w:noWrap/>
          </w:tcPr>
          <w:p w:rsidR="001602DE" w:rsidRPr="001B564A" w:rsidRDefault="001602DE" w:rsidP="00A30F15">
            <w:pPr>
              <w:spacing w:line="480" w:lineRule="auto"/>
            </w:pPr>
            <w:r w:rsidRPr="001B564A">
              <w:t>Culture and identification from clinical specimens</w:t>
            </w:r>
          </w:p>
        </w:tc>
        <w:tc>
          <w:tcPr>
            <w:tcW w:w="2424" w:type="dxa"/>
            <w:noWrap/>
          </w:tcPr>
          <w:p w:rsidR="001602DE" w:rsidRPr="001B564A" w:rsidRDefault="001602DE" w:rsidP="00A30F15">
            <w:pPr>
              <w:spacing w:line="480" w:lineRule="auto"/>
            </w:pPr>
            <w:r w:rsidRPr="001B564A">
              <w:t xml:space="preserve">4-fold increase in </w:t>
            </w:r>
            <w:r w:rsidRPr="001B564A">
              <w:rPr>
                <w:i/>
              </w:rPr>
              <w:t>Brucella</w:t>
            </w:r>
            <w:r w:rsidRPr="001B564A">
              <w:t xml:space="preserve"> antibody titer between acute and convalescent phase specimens; </w:t>
            </w:r>
            <w:r w:rsidRPr="001B564A">
              <w:rPr>
                <w:b/>
              </w:rPr>
              <w:t>OR</w:t>
            </w:r>
            <w:r w:rsidRPr="001B564A">
              <w:t xml:space="preserve"> Coombs IgG</w:t>
            </w:r>
          </w:p>
        </w:tc>
        <w:tc>
          <w:tcPr>
            <w:tcW w:w="1556" w:type="dxa"/>
            <w:noWrap/>
          </w:tcPr>
          <w:p w:rsidR="001602DE" w:rsidRPr="001B564A" w:rsidRDefault="001602DE" w:rsidP="00A30F15">
            <w:pPr>
              <w:spacing w:line="480" w:lineRule="auto"/>
            </w:pPr>
          </w:p>
        </w:tc>
        <w:tc>
          <w:tcPr>
            <w:tcW w:w="3089" w:type="dxa"/>
            <w:noWrap/>
          </w:tcPr>
          <w:p w:rsidR="001602DE" w:rsidRPr="001B564A" w:rsidRDefault="001602DE" w:rsidP="00A30F15">
            <w:pPr>
              <w:spacing w:line="480" w:lineRule="auto"/>
            </w:pPr>
          </w:p>
        </w:tc>
      </w:tr>
      <w:tr w:rsidR="001602DE" w:rsidRPr="001B564A" w:rsidTr="00A30F15">
        <w:trPr>
          <w:trHeight w:val="308"/>
        </w:trPr>
        <w:tc>
          <w:tcPr>
            <w:tcW w:w="1705" w:type="dxa"/>
            <w:noWrap/>
          </w:tcPr>
          <w:p w:rsidR="001602DE" w:rsidRPr="001B564A" w:rsidRDefault="001602DE" w:rsidP="00A30F15">
            <w:pPr>
              <w:spacing w:line="480" w:lineRule="auto"/>
              <w:rPr>
                <w:i/>
              </w:rPr>
            </w:pPr>
            <w:r w:rsidRPr="001B564A">
              <w:rPr>
                <w:i/>
              </w:rPr>
              <w:t>Mycobacterium tuberculosis</w:t>
            </w:r>
          </w:p>
        </w:tc>
        <w:tc>
          <w:tcPr>
            <w:tcW w:w="1296" w:type="dxa"/>
            <w:noWrap/>
          </w:tcPr>
          <w:p w:rsidR="001602DE" w:rsidRPr="001B564A" w:rsidRDefault="001602DE" w:rsidP="00A30F15">
            <w:pPr>
              <w:spacing w:line="480" w:lineRule="auto"/>
            </w:pPr>
            <w:r w:rsidRPr="001B564A">
              <w:t xml:space="preserve">Isolation of </w:t>
            </w:r>
            <w:r w:rsidRPr="001B564A">
              <w:rPr>
                <w:i/>
              </w:rPr>
              <w:t>M. tuberculosis</w:t>
            </w:r>
            <w:r w:rsidRPr="001B564A">
              <w:t xml:space="preserve"> from a clinical specimen</w:t>
            </w:r>
          </w:p>
        </w:tc>
        <w:tc>
          <w:tcPr>
            <w:tcW w:w="2424" w:type="dxa"/>
            <w:noWrap/>
          </w:tcPr>
          <w:p w:rsidR="001602DE" w:rsidRPr="001B564A" w:rsidRDefault="001602DE" w:rsidP="00A30F15">
            <w:pPr>
              <w:spacing w:line="480" w:lineRule="auto"/>
            </w:pPr>
          </w:p>
        </w:tc>
        <w:tc>
          <w:tcPr>
            <w:tcW w:w="1556" w:type="dxa"/>
            <w:noWrap/>
          </w:tcPr>
          <w:p w:rsidR="001602DE" w:rsidRPr="001B564A" w:rsidRDefault="001602DE" w:rsidP="00A30F15">
            <w:pPr>
              <w:spacing w:line="480" w:lineRule="auto"/>
            </w:pPr>
            <w:r w:rsidRPr="001B564A">
              <w:t xml:space="preserve">Demonstration of </w:t>
            </w:r>
            <w:r w:rsidRPr="001B564A">
              <w:rPr>
                <w:i/>
              </w:rPr>
              <w:t>M. tuberculosis</w:t>
            </w:r>
            <w:r w:rsidRPr="001B564A">
              <w:t xml:space="preserve"> complex from a clinical specimen by nucleic acid amplification test</w:t>
            </w:r>
          </w:p>
        </w:tc>
        <w:tc>
          <w:tcPr>
            <w:tcW w:w="3089" w:type="dxa"/>
            <w:noWrap/>
            <w:hideMark/>
          </w:tcPr>
          <w:p w:rsidR="001602DE" w:rsidRPr="001B564A" w:rsidRDefault="001602DE" w:rsidP="00A30F15">
            <w:pPr>
              <w:spacing w:line="480" w:lineRule="auto"/>
            </w:pPr>
            <w:r w:rsidRPr="001B564A">
              <w:t>Demonstration of acid-fast bacilli in a clinical specimen</w:t>
            </w:r>
          </w:p>
        </w:tc>
      </w:tr>
      <w:tr w:rsidR="001602DE" w:rsidRPr="001B564A" w:rsidTr="00A30F15">
        <w:trPr>
          <w:trHeight w:val="1880"/>
        </w:trPr>
        <w:tc>
          <w:tcPr>
            <w:tcW w:w="1705" w:type="dxa"/>
            <w:noWrap/>
          </w:tcPr>
          <w:p w:rsidR="001602DE" w:rsidRPr="001B564A" w:rsidRDefault="001602DE" w:rsidP="00A30F15">
            <w:pPr>
              <w:spacing w:line="480" w:lineRule="auto"/>
            </w:pPr>
            <w:r w:rsidRPr="001B564A">
              <w:t>Influenza virus</w:t>
            </w:r>
          </w:p>
        </w:tc>
        <w:tc>
          <w:tcPr>
            <w:tcW w:w="1296" w:type="dxa"/>
            <w:noWrap/>
          </w:tcPr>
          <w:p w:rsidR="001602DE" w:rsidRPr="001B564A" w:rsidRDefault="001602DE" w:rsidP="00A30F15">
            <w:pPr>
              <w:spacing w:line="480" w:lineRule="auto"/>
            </w:pPr>
            <w:r w:rsidRPr="001B564A">
              <w:t xml:space="preserve">Influenza virus isolation in tissue cell culture from </w:t>
            </w:r>
            <w:r w:rsidRPr="001B564A">
              <w:lastRenderedPageBreak/>
              <w:t>respiratory specimens</w:t>
            </w:r>
          </w:p>
        </w:tc>
        <w:tc>
          <w:tcPr>
            <w:tcW w:w="2424" w:type="dxa"/>
            <w:noWrap/>
          </w:tcPr>
          <w:p w:rsidR="001602DE" w:rsidRPr="001B564A" w:rsidRDefault="001602DE" w:rsidP="00A30F15">
            <w:pPr>
              <w:spacing w:line="480" w:lineRule="auto"/>
            </w:pPr>
            <w:r w:rsidRPr="001B564A">
              <w:lastRenderedPageBreak/>
              <w:t xml:space="preserve">Immunofluorescent antibody staining (direct or indirect) of respiratory specimens OR Four-fold rise in </w:t>
            </w:r>
            <w:r w:rsidRPr="001B564A">
              <w:lastRenderedPageBreak/>
              <w:t>influenza hemagglutination inhibition (HI) antibody titer in paired acute and convalescent sera</w:t>
            </w:r>
          </w:p>
        </w:tc>
        <w:tc>
          <w:tcPr>
            <w:tcW w:w="1556" w:type="dxa"/>
            <w:noWrap/>
          </w:tcPr>
          <w:p w:rsidR="001602DE" w:rsidRPr="001B564A" w:rsidRDefault="001602DE" w:rsidP="00A30F15">
            <w:pPr>
              <w:spacing w:line="480" w:lineRule="auto"/>
            </w:pPr>
            <w:r w:rsidRPr="001B564A">
              <w:lastRenderedPageBreak/>
              <w:t xml:space="preserve">Reverse-transcriptase polymerase chain reaction (RT-PCR) </w:t>
            </w:r>
            <w:r w:rsidRPr="001B564A">
              <w:lastRenderedPageBreak/>
              <w:t>testing of respiratory specimens</w:t>
            </w:r>
          </w:p>
        </w:tc>
        <w:tc>
          <w:tcPr>
            <w:tcW w:w="3089" w:type="dxa"/>
            <w:noWrap/>
          </w:tcPr>
          <w:p w:rsidR="001602DE" w:rsidRPr="001B564A" w:rsidRDefault="001602DE" w:rsidP="00A30F15">
            <w:pPr>
              <w:spacing w:line="480" w:lineRule="auto"/>
            </w:pPr>
            <w:r w:rsidRPr="001B564A">
              <w:lastRenderedPageBreak/>
              <w:t xml:space="preserve">Immunohistochemical (IHC) staining for influenza viral antigens in respiratory tract tissue from autopsy specimens OR Rapid influenza diagnostic </w:t>
            </w:r>
            <w:r w:rsidRPr="001B564A">
              <w:lastRenderedPageBreak/>
              <w:t>testing of respiratory specimens</w:t>
            </w:r>
          </w:p>
        </w:tc>
      </w:tr>
    </w:tbl>
    <w:p w:rsidR="001602DE" w:rsidRPr="001B564A" w:rsidRDefault="001602DE" w:rsidP="001602DE">
      <w:pPr>
        <w:spacing w:line="480" w:lineRule="auto"/>
        <w:rPr>
          <w:b/>
        </w:rPr>
      </w:pPr>
    </w:p>
    <w:sectPr w:rsidR="001602DE" w:rsidRPr="001B564A" w:rsidSect="00D26908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713057"/>
    <w:multiLevelType w:val="hybridMultilevel"/>
    <w:tmpl w:val="830A90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E220F4"/>
    <w:multiLevelType w:val="hybridMultilevel"/>
    <w:tmpl w:val="DB421C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5B40F1"/>
    <w:multiLevelType w:val="hybridMultilevel"/>
    <w:tmpl w:val="2BB295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834"/>
    <w:rsid w:val="001602DE"/>
    <w:rsid w:val="00260BC7"/>
    <w:rsid w:val="003F3304"/>
    <w:rsid w:val="00506E48"/>
    <w:rsid w:val="0058151D"/>
    <w:rsid w:val="005E7834"/>
    <w:rsid w:val="007F7E4F"/>
    <w:rsid w:val="00980806"/>
    <w:rsid w:val="00BD3571"/>
    <w:rsid w:val="00BE63C4"/>
    <w:rsid w:val="00D26908"/>
    <w:rsid w:val="00E40869"/>
    <w:rsid w:val="00E41946"/>
    <w:rsid w:val="00FC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39544F"/>
  <w15:chartTrackingRefBased/>
  <w15:docId w15:val="{96CEBB1E-6CB3-41DA-AE8B-F2F29459F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78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7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78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783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02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2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Grishma Kharod</dc:creator>
  <cp:keywords/>
  <dc:description/>
  <cp:lastModifiedBy>Kharod, Grishma A. (CDC/DDID/NCEZID/DHCPP)</cp:lastModifiedBy>
  <cp:revision>6</cp:revision>
  <dcterms:created xsi:type="dcterms:W3CDTF">2019-07-30T13:34:00Z</dcterms:created>
  <dcterms:modified xsi:type="dcterms:W3CDTF">2019-10-01T12:33:00Z</dcterms:modified>
</cp:coreProperties>
</file>