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AF" w:rsidRPr="00F6344E" w:rsidRDefault="00CA73F4">
      <w:pPr>
        <w:rPr>
          <w:rFonts w:ascii="Times New Roman" w:hAnsi="Times New Roman" w:cs="Times New Roman"/>
          <w:b/>
          <w:sz w:val="24"/>
          <w:szCs w:val="24"/>
        </w:rPr>
      </w:pPr>
      <w:bookmarkStart w:id="0" w:name="_Hlk511129672"/>
      <w:r>
        <w:rPr>
          <w:rFonts w:ascii="Times New Roman" w:hAnsi="Times New Roman" w:cs="Times New Roman"/>
          <w:b/>
          <w:sz w:val="24"/>
          <w:szCs w:val="24"/>
        </w:rPr>
        <w:t>S1 Text</w:t>
      </w:r>
      <w:r w:rsidR="00B33485">
        <w:rPr>
          <w:rFonts w:ascii="Times New Roman" w:hAnsi="Times New Roman" w:cs="Times New Roman"/>
          <w:b/>
          <w:sz w:val="24"/>
          <w:szCs w:val="24"/>
        </w:rPr>
        <w:t>.  Statistical M</w:t>
      </w:r>
      <w:r w:rsidR="006B11AF" w:rsidRPr="00F6344E">
        <w:rPr>
          <w:rFonts w:ascii="Times New Roman" w:hAnsi="Times New Roman" w:cs="Times New Roman"/>
          <w:b/>
          <w:sz w:val="24"/>
          <w:szCs w:val="24"/>
        </w:rPr>
        <w:t xml:space="preserve">ethods. </w:t>
      </w:r>
    </w:p>
    <w:bookmarkEnd w:id="0"/>
    <w:p w:rsidR="002B5C2F" w:rsidRDefault="00A13B59" w:rsidP="006B11AF">
      <w:pPr>
        <w:rPr>
          <w:rFonts w:ascii="Times New Roman" w:hAnsi="Times New Roman" w:cs="Times New Roman"/>
          <w:sz w:val="24"/>
          <w:szCs w:val="24"/>
        </w:rPr>
      </w:pPr>
      <w:r>
        <w:rPr>
          <w:rFonts w:ascii="Times New Roman" w:hAnsi="Times New Roman" w:cs="Times New Roman"/>
          <w:sz w:val="24"/>
          <w:szCs w:val="24"/>
        </w:rPr>
        <w:t>Independent variables were grouped in to demographic, comorbid conditions, clinical findings, laboratory findings, medications prescribed in an outpatient setting, and other potentially associated factors. The demographic variable of interest was age group</w:t>
      </w:r>
      <w:r w:rsidR="002B5C2F">
        <w:rPr>
          <w:rFonts w:ascii="Times New Roman" w:hAnsi="Times New Roman" w:cs="Times New Roman"/>
          <w:sz w:val="24"/>
          <w:szCs w:val="24"/>
        </w:rPr>
        <w:t xml:space="preserve"> (in 10-year categories)</w:t>
      </w:r>
      <w:r>
        <w:rPr>
          <w:rFonts w:ascii="Times New Roman" w:hAnsi="Times New Roman" w:cs="Times New Roman"/>
          <w:sz w:val="24"/>
          <w:szCs w:val="24"/>
        </w:rPr>
        <w:t>. The comorbid conditions are those used in the calculation of the Charlson Comorbidity Index</w:t>
      </w:r>
      <w:r w:rsidR="002B5C2F">
        <w:rPr>
          <w:rFonts w:ascii="Times New Roman" w:hAnsi="Times New Roman" w:cs="Times New Roman"/>
          <w:sz w:val="24"/>
          <w:szCs w:val="24"/>
        </w:rPr>
        <w:t xml:space="preserve"> (CCI)</w:t>
      </w:r>
      <w:r>
        <w:rPr>
          <w:rFonts w:ascii="Times New Roman" w:hAnsi="Times New Roman" w:cs="Times New Roman"/>
          <w:sz w:val="24"/>
          <w:szCs w:val="24"/>
        </w:rPr>
        <w:t xml:space="preserve">: myocardial infarction, congestive heart failure, peripheral vascular disease, cerebrovascular disease, dementia, chronic pulmonary disease, connective tissue disease, ulcer disease, mild liver disease, moderate to severe liver disease, hemiplegia, diabetes, diabetes with end organ damage, moderate to severe renal disease, any tumor/leukemia/lymphoma, metastatic solid tumor, and AIDS. </w:t>
      </w:r>
      <w:r w:rsidR="002B5C2F">
        <w:rPr>
          <w:rFonts w:ascii="Times New Roman" w:hAnsi="Times New Roman" w:cs="Times New Roman"/>
          <w:sz w:val="24"/>
          <w:szCs w:val="24"/>
        </w:rPr>
        <w:t xml:space="preserve">In addition, the age-adjusted CCI was included with the variables in the comorbid conditions list. </w:t>
      </w:r>
      <w:r>
        <w:rPr>
          <w:rFonts w:ascii="Times New Roman" w:hAnsi="Times New Roman" w:cs="Times New Roman"/>
          <w:sz w:val="24"/>
          <w:szCs w:val="24"/>
        </w:rPr>
        <w:t>The clinical findings included reported fever, chills, rash, arthralgia/myalgia, conjunctivitis, headache, neurological symptoms, and Guillain-Barr</w:t>
      </w:r>
      <w:r w:rsidR="00476DC7" w:rsidRPr="00476DC7">
        <w:rPr>
          <w:rFonts w:ascii="Times New Roman" w:hAnsi="Times New Roman"/>
        </w:rPr>
        <w:t>é</w:t>
      </w:r>
      <w:r w:rsidRPr="00476DC7">
        <w:rPr>
          <w:rFonts w:ascii="Times New Roman" w:hAnsi="Times New Roman" w:cs="Times New Roman"/>
          <w:sz w:val="24"/>
          <w:szCs w:val="24"/>
        </w:rPr>
        <w:t xml:space="preserve"> </w:t>
      </w:r>
      <w:r>
        <w:rPr>
          <w:rFonts w:ascii="Times New Roman" w:hAnsi="Times New Roman" w:cs="Times New Roman"/>
          <w:sz w:val="24"/>
          <w:szCs w:val="24"/>
        </w:rPr>
        <w:t>syndrome</w:t>
      </w:r>
      <w:r w:rsidR="0024696E">
        <w:rPr>
          <w:rFonts w:ascii="Times New Roman" w:hAnsi="Times New Roman" w:cs="Times New Roman"/>
          <w:sz w:val="24"/>
          <w:szCs w:val="24"/>
        </w:rPr>
        <w:t xml:space="preserve"> (GBS)</w:t>
      </w:r>
      <w:r>
        <w:rPr>
          <w:rFonts w:ascii="Times New Roman" w:hAnsi="Times New Roman" w:cs="Times New Roman"/>
          <w:sz w:val="24"/>
          <w:szCs w:val="24"/>
        </w:rPr>
        <w:t xml:space="preserve">. Laboratory findings included leukopenia (on presentation and at nadir), leukocytosis (on presentation and at peak), lymphopenia (on presentation and at nadir), thrombocytopenia (on presentation and at nadir), acute kidney injury, and hepatic transaminitis. </w:t>
      </w:r>
      <w:r w:rsidR="002B5C2F">
        <w:rPr>
          <w:rFonts w:ascii="Times New Roman" w:hAnsi="Times New Roman" w:cs="Times New Roman"/>
          <w:sz w:val="24"/>
          <w:szCs w:val="24"/>
        </w:rPr>
        <w:t xml:space="preserve">Medications prescribed in an outpatient setting prior to the Zika virus infection diagnosis included HMG-CoA reductase inhibitors, antineoplastics, antivirals for HIV infection, antidementia, glucocorticoids, immunosuppressants, antidiabetics, and anti-inflammatories. The other potentially associated factors were also used as dependent variables in unique analyses: hospitalization status, diagnostic method type (i.e., ZIKV RT-PCR vs. IgM diagnosis), and having a post-neurologic complication. </w:t>
      </w:r>
    </w:p>
    <w:p w:rsidR="006B11AF" w:rsidRPr="00AA4F46" w:rsidRDefault="006B11AF" w:rsidP="006B11AF">
      <w:pPr>
        <w:rPr>
          <w:rFonts w:ascii="Times New Roman" w:hAnsi="Times New Roman" w:cs="Times New Roman"/>
          <w:sz w:val="24"/>
          <w:szCs w:val="24"/>
        </w:rPr>
      </w:pPr>
      <w:r w:rsidRPr="00AA4F46">
        <w:rPr>
          <w:rFonts w:ascii="Times New Roman" w:hAnsi="Times New Roman" w:cs="Times New Roman"/>
          <w:sz w:val="24"/>
          <w:szCs w:val="24"/>
        </w:rPr>
        <w:t>A multi-stage backwards model building approach was used to develop a parsimonious main ef</w:t>
      </w:r>
      <w:r w:rsidR="004A5A26">
        <w:rPr>
          <w:rFonts w:ascii="Times New Roman" w:hAnsi="Times New Roman" w:cs="Times New Roman"/>
          <w:sz w:val="24"/>
          <w:szCs w:val="24"/>
        </w:rPr>
        <w:t>fects model. That is, age group</w:t>
      </w:r>
      <w:r w:rsidRPr="00AA4F46">
        <w:rPr>
          <w:rFonts w:ascii="Times New Roman" w:hAnsi="Times New Roman" w:cs="Times New Roman"/>
          <w:sz w:val="24"/>
          <w:szCs w:val="24"/>
        </w:rPr>
        <w:t>, age-adjusted CCI, and the individual comorbidities</w:t>
      </w:r>
      <w:r w:rsidR="00AA4F46">
        <w:rPr>
          <w:rFonts w:ascii="Times New Roman" w:hAnsi="Times New Roman" w:cs="Times New Roman"/>
          <w:sz w:val="24"/>
          <w:szCs w:val="24"/>
        </w:rPr>
        <w:t xml:space="preserve"> (n=18)</w:t>
      </w:r>
      <w:r w:rsidRPr="00AA4F46">
        <w:rPr>
          <w:rFonts w:ascii="Times New Roman" w:hAnsi="Times New Roman" w:cs="Times New Roman"/>
          <w:sz w:val="24"/>
          <w:szCs w:val="24"/>
        </w:rPr>
        <w:t xml:space="preserve"> used in the CCI were included in stage I. Non-significant comorbidities</w:t>
      </w:r>
      <w:r w:rsidR="00AA4F46">
        <w:rPr>
          <w:rFonts w:ascii="Times New Roman" w:hAnsi="Times New Roman" w:cs="Times New Roman"/>
          <w:sz w:val="24"/>
          <w:szCs w:val="24"/>
        </w:rPr>
        <w:t xml:space="preserve"> (n=14)</w:t>
      </w:r>
      <w:r w:rsidRPr="00AA4F46">
        <w:rPr>
          <w:rFonts w:ascii="Times New Roman" w:hAnsi="Times New Roman" w:cs="Times New Roman"/>
          <w:sz w:val="24"/>
          <w:szCs w:val="24"/>
        </w:rPr>
        <w:t xml:space="preserve"> were removed from the model</w:t>
      </w:r>
      <w:r w:rsidR="00AA4F46">
        <w:rPr>
          <w:rFonts w:ascii="Times New Roman" w:hAnsi="Times New Roman" w:cs="Times New Roman"/>
          <w:sz w:val="24"/>
          <w:szCs w:val="24"/>
        </w:rPr>
        <w:t>, leaving age group and four comorbidity variables (i.e., age-adjusted CCI, connective tissue disease, congestive heart failure, and dementia) in the model</w:t>
      </w:r>
      <w:r w:rsidRPr="00AA4F46">
        <w:rPr>
          <w:rFonts w:ascii="Times New Roman" w:hAnsi="Times New Roman" w:cs="Times New Roman"/>
          <w:sz w:val="24"/>
          <w:szCs w:val="24"/>
        </w:rPr>
        <w:t xml:space="preserve">. </w:t>
      </w:r>
      <w:r w:rsidR="00AA4F46">
        <w:rPr>
          <w:rFonts w:ascii="Times New Roman" w:hAnsi="Times New Roman" w:cs="Times New Roman"/>
          <w:sz w:val="24"/>
          <w:szCs w:val="24"/>
        </w:rPr>
        <w:t xml:space="preserve">In stage II, the eight clinical findings variables were entered into the model, of which three were statistically significant (i.e., skin symptoms, neurological symptoms, </w:t>
      </w:r>
      <w:r w:rsidR="00C914E4">
        <w:rPr>
          <w:rFonts w:ascii="Times New Roman" w:hAnsi="Times New Roman" w:cs="Times New Roman"/>
          <w:sz w:val="24"/>
          <w:szCs w:val="24"/>
        </w:rPr>
        <w:t xml:space="preserve">and </w:t>
      </w:r>
      <w:r w:rsidR="00AA4F46">
        <w:rPr>
          <w:rFonts w:ascii="Times New Roman" w:hAnsi="Times New Roman" w:cs="Times New Roman"/>
          <w:sz w:val="24"/>
          <w:szCs w:val="24"/>
        </w:rPr>
        <w:t>GBS</w:t>
      </w:r>
      <w:r w:rsidR="00C914E4">
        <w:rPr>
          <w:rFonts w:ascii="Times New Roman" w:hAnsi="Times New Roman" w:cs="Times New Roman"/>
          <w:sz w:val="24"/>
          <w:szCs w:val="24"/>
        </w:rPr>
        <w:t>) and thus remained in the model. In stage III, the nine</w:t>
      </w:r>
      <w:r w:rsidRPr="00AA4F46">
        <w:rPr>
          <w:rFonts w:ascii="Times New Roman" w:hAnsi="Times New Roman" w:cs="Times New Roman"/>
          <w:sz w:val="24"/>
          <w:szCs w:val="24"/>
        </w:rPr>
        <w:t xml:space="preserve"> laboratory findings</w:t>
      </w:r>
      <w:r w:rsidR="00C914E4">
        <w:rPr>
          <w:rFonts w:ascii="Times New Roman" w:hAnsi="Times New Roman" w:cs="Times New Roman"/>
          <w:sz w:val="24"/>
          <w:szCs w:val="24"/>
        </w:rPr>
        <w:t xml:space="preserve"> variables were entered into the model, of which three were statistically significant (i.e., leukocytosis, thrombocytopenia, and acute kidney injury). In stage IV, the eight </w:t>
      </w:r>
      <w:r w:rsidRPr="00AA4F46">
        <w:rPr>
          <w:rFonts w:ascii="Times New Roman" w:hAnsi="Times New Roman" w:cs="Times New Roman"/>
          <w:sz w:val="24"/>
          <w:szCs w:val="24"/>
        </w:rPr>
        <w:t>medications prescribed as an outpatient prior to ZIKV infection were added</w:t>
      </w:r>
      <w:r w:rsidR="00C914E4">
        <w:rPr>
          <w:rFonts w:ascii="Times New Roman" w:hAnsi="Times New Roman" w:cs="Times New Roman"/>
          <w:sz w:val="24"/>
          <w:szCs w:val="24"/>
        </w:rPr>
        <w:t xml:space="preserve">, of which only one was statistically significant (i.e., glucocorticoids). </w:t>
      </w:r>
      <w:r w:rsidRPr="00AA4F46">
        <w:rPr>
          <w:rFonts w:ascii="Times New Roman" w:hAnsi="Times New Roman" w:cs="Times New Roman"/>
          <w:sz w:val="24"/>
          <w:szCs w:val="24"/>
        </w:rPr>
        <w:t>Age group and age-adjusted CCI remained in the model, regardless of statistical significance until the completion of stage IV. The analysis in which hospitalization status as the outcome of interest is and the flow sequence is illustrated in Figure S1. The same pr</w:t>
      </w:r>
      <w:r w:rsidR="00AA0441" w:rsidRPr="00AA4F46">
        <w:rPr>
          <w:rFonts w:ascii="Times New Roman" w:hAnsi="Times New Roman" w:cs="Times New Roman"/>
          <w:sz w:val="24"/>
          <w:szCs w:val="24"/>
        </w:rPr>
        <w:t>ocess was used when diagnostic method type (i.e., ZIKV RT-PCR vs. IgM diagnosis) and post-neurologic complications were used as the outcome of interest (as reported in Table 4)</w:t>
      </w:r>
      <w:r w:rsidR="00CA32EF">
        <w:rPr>
          <w:rFonts w:ascii="Times New Roman" w:hAnsi="Times New Roman" w:cs="Times New Roman"/>
          <w:sz w:val="24"/>
          <w:szCs w:val="24"/>
        </w:rPr>
        <w:t>.</w:t>
      </w:r>
    </w:p>
    <w:p w:rsidR="006B11AF" w:rsidRDefault="00157AD2">
      <w:r w:rsidRPr="00AA4F46">
        <w:rPr>
          <w:rFonts w:ascii="Times New Roman" w:hAnsi="Times New Roman" w:cs="Times New Roman"/>
          <w:sz w:val="24"/>
          <w:szCs w:val="24"/>
        </w:rPr>
        <w:t>In addition to assessing the comorbidity, clinical, laboratory, and medications variables as independent variables in the logistic regression models, we also assessed diagnostic method type and post-neurologic complications for potential association with hospitalization status</w:t>
      </w:r>
      <w:r w:rsidR="00C914E4">
        <w:rPr>
          <w:rFonts w:ascii="Times New Roman" w:hAnsi="Times New Roman" w:cs="Times New Roman"/>
          <w:sz w:val="24"/>
          <w:szCs w:val="24"/>
        </w:rPr>
        <w:t>. H</w:t>
      </w:r>
      <w:r w:rsidRPr="00AA4F46">
        <w:rPr>
          <w:rFonts w:ascii="Times New Roman" w:hAnsi="Times New Roman" w:cs="Times New Roman"/>
          <w:sz w:val="24"/>
          <w:szCs w:val="24"/>
        </w:rPr>
        <w:t xml:space="preserve">ospitalization status and post-neurologic complications </w:t>
      </w:r>
      <w:r w:rsidR="00C914E4">
        <w:rPr>
          <w:rFonts w:ascii="Times New Roman" w:hAnsi="Times New Roman" w:cs="Times New Roman"/>
          <w:sz w:val="24"/>
          <w:szCs w:val="24"/>
        </w:rPr>
        <w:t xml:space="preserve">were assessed </w:t>
      </w:r>
      <w:r w:rsidRPr="00AA4F46">
        <w:rPr>
          <w:rFonts w:ascii="Times New Roman" w:hAnsi="Times New Roman" w:cs="Times New Roman"/>
          <w:sz w:val="24"/>
          <w:szCs w:val="24"/>
        </w:rPr>
        <w:t xml:space="preserve">for potential association </w:t>
      </w:r>
      <w:r w:rsidRPr="00AA4F46">
        <w:rPr>
          <w:rFonts w:ascii="Times New Roman" w:hAnsi="Times New Roman" w:cs="Times New Roman"/>
          <w:sz w:val="24"/>
          <w:szCs w:val="24"/>
        </w:rPr>
        <w:lastRenderedPageBreak/>
        <w:t xml:space="preserve">with diagnostic method type, and hospitalization status and diagnostic method type </w:t>
      </w:r>
      <w:r w:rsidR="00C914E4">
        <w:rPr>
          <w:rFonts w:ascii="Times New Roman" w:hAnsi="Times New Roman" w:cs="Times New Roman"/>
          <w:sz w:val="24"/>
          <w:szCs w:val="24"/>
        </w:rPr>
        <w:t xml:space="preserve">were assessed </w:t>
      </w:r>
      <w:r w:rsidRPr="00AA4F46">
        <w:rPr>
          <w:rFonts w:ascii="Times New Roman" w:hAnsi="Times New Roman" w:cs="Times New Roman"/>
          <w:sz w:val="24"/>
          <w:szCs w:val="24"/>
        </w:rPr>
        <w:t>for potential association with post-neurolog</w:t>
      </w:r>
      <w:bookmarkStart w:id="1" w:name="_GoBack"/>
      <w:bookmarkEnd w:id="1"/>
      <w:r w:rsidRPr="00AA4F46">
        <w:rPr>
          <w:rFonts w:ascii="Times New Roman" w:hAnsi="Times New Roman" w:cs="Times New Roman"/>
          <w:sz w:val="24"/>
          <w:szCs w:val="24"/>
        </w:rPr>
        <w:t>ic complications in the final step</w:t>
      </w:r>
      <w:r w:rsidR="00501578">
        <w:rPr>
          <w:rFonts w:ascii="Times New Roman" w:hAnsi="Times New Roman" w:cs="Times New Roman"/>
          <w:sz w:val="24"/>
          <w:szCs w:val="24"/>
        </w:rPr>
        <w:t xml:space="preserve"> of the model building process.</w:t>
      </w:r>
    </w:p>
    <w:sectPr w:rsidR="006B11AF" w:rsidSect="001B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31"/>
    <w:rsid w:val="00103F17"/>
    <w:rsid w:val="00126574"/>
    <w:rsid w:val="00157AD2"/>
    <w:rsid w:val="001B1A23"/>
    <w:rsid w:val="001E52BC"/>
    <w:rsid w:val="00221572"/>
    <w:rsid w:val="0024696E"/>
    <w:rsid w:val="002B5C2F"/>
    <w:rsid w:val="00476DC7"/>
    <w:rsid w:val="004A5A26"/>
    <w:rsid w:val="004D3B3D"/>
    <w:rsid w:val="00501578"/>
    <w:rsid w:val="006B11AF"/>
    <w:rsid w:val="0090714D"/>
    <w:rsid w:val="00940607"/>
    <w:rsid w:val="00A13B59"/>
    <w:rsid w:val="00AA0441"/>
    <w:rsid w:val="00AA4F46"/>
    <w:rsid w:val="00AD5766"/>
    <w:rsid w:val="00B33485"/>
    <w:rsid w:val="00B41031"/>
    <w:rsid w:val="00B52BBE"/>
    <w:rsid w:val="00C51D53"/>
    <w:rsid w:val="00C914E4"/>
    <w:rsid w:val="00CA32EF"/>
    <w:rsid w:val="00CA73F4"/>
    <w:rsid w:val="00D2346E"/>
    <w:rsid w:val="00F6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D6FC"/>
  <w15:docId w15:val="{A3EAC01D-E853-44A7-A3A5-CA78F26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Wendelboe, Aaron M.  (HSC)</dc:creator>
  <cp:lastModifiedBy>Schirmer, Patricia</cp:lastModifiedBy>
  <cp:revision>4</cp:revision>
  <dcterms:created xsi:type="dcterms:W3CDTF">2018-04-10T19:17:00Z</dcterms:created>
  <dcterms:modified xsi:type="dcterms:W3CDTF">2018-04-10T19:26:00Z</dcterms:modified>
</cp:coreProperties>
</file>