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ED" w:rsidRPr="005D6E54" w:rsidRDefault="00C92BED" w:rsidP="00C92BED">
      <w:pPr>
        <w:spacing w:line="480" w:lineRule="auto"/>
        <w:jc w:val="both"/>
        <w:rPr>
          <w:b/>
        </w:rPr>
      </w:pPr>
    </w:p>
    <w:tbl>
      <w:tblPr>
        <w:tblStyle w:val="TableGrid"/>
        <w:tblW w:w="0" w:type="auto"/>
        <w:jc w:val="center"/>
        <w:tblLayout w:type="fixed"/>
        <w:tblLook w:val="04A0" w:firstRow="1" w:lastRow="0" w:firstColumn="1" w:lastColumn="0" w:noHBand="0" w:noVBand="1"/>
      </w:tblPr>
      <w:tblGrid>
        <w:gridCol w:w="1696"/>
        <w:gridCol w:w="1134"/>
        <w:gridCol w:w="1134"/>
        <w:gridCol w:w="1134"/>
        <w:gridCol w:w="1134"/>
      </w:tblGrid>
      <w:tr w:rsidR="00C92BED" w:rsidTr="00BD601A">
        <w:trPr>
          <w:jc w:val="center"/>
        </w:trPr>
        <w:tc>
          <w:tcPr>
            <w:tcW w:w="1696" w:type="dxa"/>
          </w:tcPr>
          <w:p w:rsidR="00C92BED" w:rsidRDefault="00C92BED" w:rsidP="00BD601A">
            <w:pPr>
              <w:spacing w:line="480" w:lineRule="auto"/>
            </w:pPr>
          </w:p>
        </w:tc>
        <w:tc>
          <w:tcPr>
            <w:tcW w:w="1134" w:type="dxa"/>
          </w:tcPr>
          <w:p w:rsidR="00C92BED" w:rsidRPr="008E5937" w:rsidRDefault="00C92BED" w:rsidP="00BD601A">
            <w:pPr>
              <w:spacing w:line="480" w:lineRule="auto"/>
              <w:jc w:val="center"/>
              <w:rPr>
                <w:b/>
                <w:sz w:val="20"/>
              </w:rPr>
            </w:pPr>
            <w:proofErr w:type="spellStart"/>
            <w:r>
              <w:rPr>
                <w:b/>
                <w:sz w:val="20"/>
              </w:rPr>
              <w:t>Temeke</w:t>
            </w:r>
            <w:proofErr w:type="spellEnd"/>
          </w:p>
        </w:tc>
        <w:tc>
          <w:tcPr>
            <w:tcW w:w="1134" w:type="dxa"/>
          </w:tcPr>
          <w:p w:rsidR="00C92BED" w:rsidRPr="008E5937" w:rsidRDefault="00C92BED" w:rsidP="00BD601A">
            <w:pPr>
              <w:spacing w:line="480" w:lineRule="auto"/>
              <w:rPr>
                <w:b/>
                <w:sz w:val="20"/>
              </w:rPr>
            </w:pPr>
            <w:proofErr w:type="spellStart"/>
            <w:r>
              <w:rPr>
                <w:b/>
                <w:sz w:val="20"/>
              </w:rPr>
              <w:t>Kinondoni</w:t>
            </w:r>
            <w:proofErr w:type="spellEnd"/>
          </w:p>
        </w:tc>
        <w:tc>
          <w:tcPr>
            <w:tcW w:w="1134" w:type="dxa"/>
          </w:tcPr>
          <w:p w:rsidR="00C92BED" w:rsidRPr="008E5937" w:rsidRDefault="00C92BED" w:rsidP="00BD601A">
            <w:pPr>
              <w:spacing w:line="480" w:lineRule="auto"/>
              <w:jc w:val="center"/>
              <w:rPr>
                <w:b/>
                <w:sz w:val="20"/>
              </w:rPr>
            </w:pPr>
            <w:r>
              <w:rPr>
                <w:b/>
                <w:sz w:val="20"/>
              </w:rPr>
              <w:t>Ilala</w:t>
            </w:r>
          </w:p>
        </w:tc>
        <w:tc>
          <w:tcPr>
            <w:tcW w:w="1134" w:type="dxa"/>
          </w:tcPr>
          <w:p w:rsidR="00C92BED" w:rsidRPr="008E5937" w:rsidRDefault="00C92BED" w:rsidP="00BD601A">
            <w:pPr>
              <w:spacing w:line="480" w:lineRule="auto"/>
              <w:jc w:val="center"/>
              <w:rPr>
                <w:b/>
                <w:sz w:val="20"/>
              </w:rPr>
            </w:pPr>
            <w:r>
              <w:rPr>
                <w:b/>
                <w:sz w:val="20"/>
              </w:rPr>
              <w:t>Total</w:t>
            </w:r>
          </w:p>
        </w:tc>
      </w:tr>
      <w:tr w:rsidR="00C92BED" w:rsidTr="00BD601A">
        <w:trPr>
          <w:jc w:val="center"/>
        </w:trPr>
        <w:tc>
          <w:tcPr>
            <w:tcW w:w="1696" w:type="dxa"/>
          </w:tcPr>
          <w:p w:rsidR="00C92BED" w:rsidRPr="008F004F" w:rsidRDefault="00C92BED" w:rsidP="00BD601A">
            <w:pPr>
              <w:spacing w:line="480" w:lineRule="auto"/>
              <w:rPr>
                <w:b/>
              </w:rPr>
            </w:pPr>
            <w:proofErr w:type="spellStart"/>
            <w:r w:rsidRPr="008F004F">
              <w:rPr>
                <w:b/>
              </w:rPr>
              <w:t>L</w:t>
            </w:r>
            <w:r>
              <w:rPr>
                <w:b/>
              </w:rPr>
              <w:t>ymphoedema</w:t>
            </w:r>
            <w:proofErr w:type="spellEnd"/>
            <w:r>
              <w:rPr>
                <w:b/>
              </w:rPr>
              <w:t>-Elephantiasis</w:t>
            </w:r>
          </w:p>
        </w:tc>
        <w:tc>
          <w:tcPr>
            <w:tcW w:w="1134" w:type="dxa"/>
          </w:tcPr>
          <w:p w:rsidR="00C92BED" w:rsidRDefault="00C92BED" w:rsidP="00BD601A">
            <w:pPr>
              <w:spacing w:line="480" w:lineRule="auto"/>
            </w:pPr>
          </w:p>
        </w:tc>
        <w:tc>
          <w:tcPr>
            <w:tcW w:w="1134" w:type="dxa"/>
          </w:tcPr>
          <w:p w:rsidR="00C92BED" w:rsidRDefault="00C92BED" w:rsidP="00BD601A">
            <w:pPr>
              <w:spacing w:line="480" w:lineRule="auto"/>
            </w:pPr>
          </w:p>
        </w:tc>
        <w:tc>
          <w:tcPr>
            <w:tcW w:w="1134" w:type="dxa"/>
          </w:tcPr>
          <w:p w:rsidR="00C92BED" w:rsidRDefault="00C92BED" w:rsidP="00BD601A">
            <w:pPr>
              <w:spacing w:line="480" w:lineRule="auto"/>
            </w:pPr>
          </w:p>
        </w:tc>
        <w:tc>
          <w:tcPr>
            <w:tcW w:w="1134" w:type="dxa"/>
          </w:tcPr>
          <w:p w:rsidR="00C92BED" w:rsidRDefault="00C92BED" w:rsidP="00BD601A">
            <w:pPr>
              <w:spacing w:line="480" w:lineRule="auto"/>
            </w:pPr>
          </w:p>
        </w:tc>
      </w:tr>
      <w:tr w:rsidR="00C92BED" w:rsidTr="00BD601A">
        <w:trPr>
          <w:jc w:val="center"/>
        </w:trPr>
        <w:tc>
          <w:tcPr>
            <w:tcW w:w="1696" w:type="dxa"/>
          </w:tcPr>
          <w:p w:rsidR="00C92BED" w:rsidRPr="00DD60D3" w:rsidRDefault="00C92BED" w:rsidP="00BD601A">
            <w:pPr>
              <w:spacing w:line="480" w:lineRule="auto"/>
              <w:jc w:val="right"/>
            </w:pPr>
            <w:r w:rsidRPr="00DD60D3">
              <w:t>Reported</w:t>
            </w:r>
          </w:p>
        </w:tc>
        <w:tc>
          <w:tcPr>
            <w:tcW w:w="1134" w:type="dxa"/>
          </w:tcPr>
          <w:p w:rsidR="00C92BED" w:rsidRDefault="00C92BED" w:rsidP="00BD601A">
            <w:pPr>
              <w:spacing w:line="480" w:lineRule="auto"/>
            </w:pPr>
            <w:r>
              <w:t>14</w:t>
            </w:r>
          </w:p>
        </w:tc>
        <w:tc>
          <w:tcPr>
            <w:tcW w:w="1134" w:type="dxa"/>
          </w:tcPr>
          <w:p w:rsidR="00C92BED" w:rsidRDefault="00C92BED" w:rsidP="00BD601A">
            <w:pPr>
              <w:spacing w:line="480" w:lineRule="auto"/>
            </w:pPr>
            <w:r>
              <w:t>23</w:t>
            </w:r>
          </w:p>
        </w:tc>
        <w:tc>
          <w:tcPr>
            <w:tcW w:w="1134" w:type="dxa"/>
          </w:tcPr>
          <w:p w:rsidR="00C92BED" w:rsidRDefault="00C92BED" w:rsidP="00BD601A">
            <w:pPr>
              <w:spacing w:line="480" w:lineRule="auto"/>
            </w:pPr>
            <w:r>
              <w:t>34</w:t>
            </w:r>
          </w:p>
        </w:tc>
        <w:tc>
          <w:tcPr>
            <w:tcW w:w="1134" w:type="dxa"/>
          </w:tcPr>
          <w:p w:rsidR="00C92BED" w:rsidRDefault="00C92BED" w:rsidP="00BD601A">
            <w:pPr>
              <w:spacing w:line="480" w:lineRule="auto"/>
            </w:pPr>
            <w:r>
              <w:t>71</w:t>
            </w:r>
          </w:p>
        </w:tc>
      </w:tr>
      <w:tr w:rsidR="00C92BED" w:rsidTr="00BD601A">
        <w:trPr>
          <w:jc w:val="center"/>
        </w:trPr>
        <w:tc>
          <w:tcPr>
            <w:tcW w:w="1696" w:type="dxa"/>
          </w:tcPr>
          <w:p w:rsidR="00C92BED" w:rsidRPr="00DD60D3" w:rsidRDefault="00C92BED" w:rsidP="00BD601A">
            <w:pPr>
              <w:spacing w:line="480" w:lineRule="auto"/>
              <w:jc w:val="right"/>
            </w:pPr>
            <w:r w:rsidRPr="00DD60D3">
              <w:t>Correct</w:t>
            </w:r>
          </w:p>
        </w:tc>
        <w:tc>
          <w:tcPr>
            <w:tcW w:w="1134" w:type="dxa"/>
          </w:tcPr>
          <w:p w:rsidR="00C92BED" w:rsidRDefault="00C92BED" w:rsidP="00BD601A">
            <w:pPr>
              <w:spacing w:line="480" w:lineRule="auto"/>
            </w:pPr>
            <w:r>
              <w:t>13</w:t>
            </w:r>
          </w:p>
        </w:tc>
        <w:tc>
          <w:tcPr>
            <w:tcW w:w="1134" w:type="dxa"/>
          </w:tcPr>
          <w:p w:rsidR="00C92BED" w:rsidRDefault="00C92BED" w:rsidP="00BD601A">
            <w:pPr>
              <w:spacing w:line="480" w:lineRule="auto"/>
            </w:pPr>
            <w:r>
              <w:t>20</w:t>
            </w:r>
          </w:p>
        </w:tc>
        <w:tc>
          <w:tcPr>
            <w:tcW w:w="1134" w:type="dxa"/>
          </w:tcPr>
          <w:p w:rsidR="00C92BED" w:rsidRDefault="00C92BED" w:rsidP="00BD601A">
            <w:pPr>
              <w:spacing w:line="480" w:lineRule="auto"/>
            </w:pPr>
            <w:r>
              <w:t>25</w:t>
            </w:r>
          </w:p>
        </w:tc>
        <w:tc>
          <w:tcPr>
            <w:tcW w:w="1134" w:type="dxa"/>
          </w:tcPr>
          <w:p w:rsidR="00C92BED" w:rsidRDefault="00C92BED" w:rsidP="00BD601A">
            <w:pPr>
              <w:spacing w:line="480" w:lineRule="auto"/>
            </w:pPr>
            <w:r>
              <w:t>58</w:t>
            </w:r>
          </w:p>
        </w:tc>
      </w:tr>
      <w:tr w:rsidR="00C92BED" w:rsidTr="00BD601A">
        <w:trPr>
          <w:jc w:val="center"/>
        </w:trPr>
        <w:tc>
          <w:tcPr>
            <w:tcW w:w="1696" w:type="dxa"/>
          </w:tcPr>
          <w:p w:rsidR="00C92BED" w:rsidRPr="00DD60D3" w:rsidRDefault="00C92BED" w:rsidP="00BD601A">
            <w:pPr>
              <w:spacing w:line="480" w:lineRule="auto"/>
              <w:jc w:val="right"/>
            </w:pPr>
            <w:r>
              <w:t>% C</w:t>
            </w:r>
            <w:r w:rsidRPr="00DD60D3">
              <w:t>orrect</w:t>
            </w:r>
          </w:p>
        </w:tc>
        <w:tc>
          <w:tcPr>
            <w:tcW w:w="1134" w:type="dxa"/>
          </w:tcPr>
          <w:p w:rsidR="00C92BED" w:rsidRDefault="00C92BED" w:rsidP="00BD601A">
            <w:pPr>
              <w:spacing w:line="480" w:lineRule="auto"/>
            </w:pPr>
            <w:r>
              <w:t>92.9%</w:t>
            </w:r>
          </w:p>
        </w:tc>
        <w:tc>
          <w:tcPr>
            <w:tcW w:w="1134" w:type="dxa"/>
          </w:tcPr>
          <w:p w:rsidR="00C92BED" w:rsidRDefault="00C92BED" w:rsidP="00BD601A">
            <w:pPr>
              <w:spacing w:line="480" w:lineRule="auto"/>
            </w:pPr>
            <w:r>
              <w:t>87.0%</w:t>
            </w:r>
          </w:p>
        </w:tc>
        <w:tc>
          <w:tcPr>
            <w:tcW w:w="1134" w:type="dxa"/>
          </w:tcPr>
          <w:p w:rsidR="00C92BED" w:rsidRDefault="00C92BED" w:rsidP="00BD601A">
            <w:pPr>
              <w:spacing w:line="480" w:lineRule="auto"/>
            </w:pPr>
            <w:r>
              <w:t>73.5%</w:t>
            </w:r>
          </w:p>
        </w:tc>
        <w:tc>
          <w:tcPr>
            <w:tcW w:w="1134" w:type="dxa"/>
          </w:tcPr>
          <w:p w:rsidR="00C92BED" w:rsidRDefault="00C92BED" w:rsidP="00BD601A">
            <w:pPr>
              <w:spacing w:line="480" w:lineRule="auto"/>
            </w:pPr>
            <w:r>
              <w:t>81.7%</w:t>
            </w:r>
          </w:p>
        </w:tc>
      </w:tr>
      <w:tr w:rsidR="00C92BED" w:rsidTr="00BD601A">
        <w:trPr>
          <w:jc w:val="center"/>
        </w:trPr>
        <w:tc>
          <w:tcPr>
            <w:tcW w:w="1696" w:type="dxa"/>
          </w:tcPr>
          <w:p w:rsidR="00C92BED" w:rsidRPr="008F004F" w:rsidRDefault="00C92BED" w:rsidP="00BD601A">
            <w:pPr>
              <w:spacing w:line="480" w:lineRule="auto"/>
              <w:rPr>
                <w:b/>
              </w:rPr>
            </w:pPr>
          </w:p>
        </w:tc>
        <w:tc>
          <w:tcPr>
            <w:tcW w:w="1134" w:type="dxa"/>
          </w:tcPr>
          <w:p w:rsidR="00C92BED" w:rsidRDefault="00C92BED" w:rsidP="00BD601A">
            <w:pPr>
              <w:spacing w:line="480" w:lineRule="auto"/>
            </w:pPr>
          </w:p>
        </w:tc>
        <w:tc>
          <w:tcPr>
            <w:tcW w:w="1134" w:type="dxa"/>
          </w:tcPr>
          <w:p w:rsidR="00C92BED" w:rsidRDefault="00C92BED" w:rsidP="00BD601A">
            <w:pPr>
              <w:spacing w:line="480" w:lineRule="auto"/>
            </w:pPr>
          </w:p>
        </w:tc>
        <w:tc>
          <w:tcPr>
            <w:tcW w:w="1134" w:type="dxa"/>
          </w:tcPr>
          <w:p w:rsidR="00C92BED" w:rsidRDefault="00C92BED" w:rsidP="00BD601A">
            <w:pPr>
              <w:spacing w:line="480" w:lineRule="auto"/>
            </w:pPr>
          </w:p>
        </w:tc>
        <w:tc>
          <w:tcPr>
            <w:tcW w:w="1134" w:type="dxa"/>
          </w:tcPr>
          <w:p w:rsidR="00C92BED" w:rsidRDefault="00C92BED" w:rsidP="00BD601A">
            <w:pPr>
              <w:spacing w:line="480" w:lineRule="auto"/>
            </w:pPr>
          </w:p>
        </w:tc>
      </w:tr>
      <w:tr w:rsidR="00C92BED" w:rsidTr="00BD601A">
        <w:trPr>
          <w:jc w:val="center"/>
        </w:trPr>
        <w:tc>
          <w:tcPr>
            <w:tcW w:w="1696" w:type="dxa"/>
          </w:tcPr>
          <w:p w:rsidR="00C92BED" w:rsidRPr="008F004F" w:rsidRDefault="00C92BED" w:rsidP="00BD601A">
            <w:pPr>
              <w:spacing w:line="480" w:lineRule="auto"/>
              <w:rPr>
                <w:b/>
              </w:rPr>
            </w:pPr>
            <w:proofErr w:type="spellStart"/>
            <w:r w:rsidRPr="008F004F">
              <w:rPr>
                <w:b/>
              </w:rPr>
              <w:t>H</w:t>
            </w:r>
            <w:r>
              <w:rPr>
                <w:b/>
              </w:rPr>
              <w:t>ydroceoele</w:t>
            </w:r>
            <w:proofErr w:type="spellEnd"/>
          </w:p>
        </w:tc>
        <w:tc>
          <w:tcPr>
            <w:tcW w:w="1134" w:type="dxa"/>
          </w:tcPr>
          <w:p w:rsidR="00C92BED" w:rsidRDefault="00C92BED" w:rsidP="00BD601A">
            <w:pPr>
              <w:spacing w:line="480" w:lineRule="auto"/>
            </w:pPr>
          </w:p>
        </w:tc>
        <w:tc>
          <w:tcPr>
            <w:tcW w:w="1134" w:type="dxa"/>
          </w:tcPr>
          <w:p w:rsidR="00C92BED" w:rsidRDefault="00C92BED" w:rsidP="00BD601A">
            <w:pPr>
              <w:spacing w:line="480" w:lineRule="auto"/>
            </w:pPr>
          </w:p>
        </w:tc>
        <w:tc>
          <w:tcPr>
            <w:tcW w:w="1134" w:type="dxa"/>
          </w:tcPr>
          <w:p w:rsidR="00C92BED" w:rsidRDefault="00C92BED" w:rsidP="00BD601A">
            <w:pPr>
              <w:spacing w:line="480" w:lineRule="auto"/>
            </w:pPr>
          </w:p>
        </w:tc>
        <w:tc>
          <w:tcPr>
            <w:tcW w:w="1134" w:type="dxa"/>
          </w:tcPr>
          <w:p w:rsidR="00C92BED" w:rsidRDefault="00C92BED" w:rsidP="00BD601A">
            <w:pPr>
              <w:spacing w:line="480" w:lineRule="auto"/>
            </w:pPr>
          </w:p>
        </w:tc>
      </w:tr>
      <w:tr w:rsidR="00C92BED" w:rsidTr="00BD601A">
        <w:trPr>
          <w:jc w:val="center"/>
        </w:trPr>
        <w:tc>
          <w:tcPr>
            <w:tcW w:w="1696" w:type="dxa"/>
          </w:tcPr>
          <w:p w:rsidR="00C92BED" w:rsidRPr="00DD60D3" w:rsidRDefault="00C92BED" w:rsidP="00BD601A">
            <w:pPr>
              <w:spacing w:line="480" w:lineRule="auto"/>
              <w:jc w:val="right"/>
            </w:pPr>
            <w:r w:rsidRPr="00DD60D3">
              <w:t>Reported</w:t>
            </w:r>
          </w:p>
        </w:tc>
        <w:tc>
          <w:tcPr>
            <w:tcW w:w="1134" w:type="dxa"/>
          </w:tcPr>
          <w:p w:rsidR="00C92BED" w:rsidRDefault="00C92BED" w:rsidP="00BD601A">
            <w:pPr>
              <w:spacing w:line="480" w:lineRule="auto"/>
            </w:pPr>
            <w:r>
              <w:t>18</w:t>
            </w:r>
          </w:p>
        </w:tc>
        <w:tc>
          <w:tcPr>
            <w:tcW w:w="1134" w:type="dxa"/>
          </w:tcPr>
          <w:p w:rsidR="00C92BED" w:rsidRDefault="00C92BED" w:rsidP="00BD601A">
            <w:pPr>
              <w:spacing w:line="480" w:lineRule="auto"/>
            </w:pPr>
            <w:r>
              <w:t>68</w:t>
            </w:r>
          </w:p>
        </w:tc>
        <w:tc>
          <w:tcPr>
            <w:tcW w:w="1134" w:type="dxa"/>
          </w:tcPr>
          <w:p w:rsidR="00C92BED" w:rsidRDefault="00C92BED" w:rsidP="00BD601A">
            <w:pPr>
              <w:spacing w:line="480" w:lineRule="auto"/>
            </w:pPr>
            <w:r>
              <w:t>75</w:t>
            </w:r>
          </w:p>
        </w:tc>
        <w:tc>
          <w:tcPr>
            <w:tcW w:w="1134" w:type="dxa"/>
          </w:tcPr>
          <w:p w:rsidR="00C92BED" w:rsidRDefault="00C92BED" w:rsidP="00BD601A">
            <w:pPr>
              <w:spacing w:line="480" w:lineRule="auto"/>
            </w:pPr>
            <w:r>
              <w:t>161</w:t>
            </w:r>
          </w:p>
        </w:tc>
      </w:tr>
      <w:tr w:rsidR="00C92BED" w:rsidTr="00BD601A">
        <w:trPr>
          <w:jc w:val="center"/>
        </w:trPr>
        <w:tc>
          <w:tcPr>
            <w:tcW w:w="1696" w:type="dxa"/>
          </w:tcPr>
          <w:p w:rsidR="00C92BED" w:rsidRPr="00DD60D3" w:rsidRDefault="00C92BED" w:rsidP="00BD601A">
            <w:pPr>
              <w:spacing w:line="480" w:lineRule="auto"/>
              <w:jc w:val="right"/>
            </w:pPr>
            <w:r w:rsidRPr="00DD60D3">
              <w:t>Correct</w:t>
            </w:r>
          </w:p>
        </w:tc>
        <w:tc>
          <w:tcPr>
            <w:tcW w:w="1134" w:type="dxa"/>
          </w:tcPr>
          <w:p w:rsidR="00C92BED" w:rsidRDefault="00C92BED" w:rsidP="00BD601A">
            <w:pPr>
              <w:spacing w:line="480" w:lineRule="auto"/>
            </w:pPr>
            <w:r>
              <w:t>17</w:t>
            </w:r>
          </w:p>
        </w:tc>
        <w:tc>
          <w:tcPr>
            <w:tcW w:w="1134" w:type="dxa"/>
          </w:tcPr>
          <w:p w:rsidR="00C92BED" w:rsidRDefault="00C92BED" w:rsidP="00BD601A">
            <w:pPr>
              <w:spacing w:line="480" w:lineRule="auto"/>
            </w:pPr>
            <w:r>
              <w:t>66</w:t>
            </w:r>
          </w:p>
        </w:tc>
        <w:tc>
          <w:tcPr>
            <w:tcW w:w="1134" w:type="dxa"/>
          </w:tcPr>
          <w:p w:rsidR="00C92BED" w:rsidRDefault="00C92BED" w:rsidP="00BD601A">
            <w:pPr>
              <w:spacing w:line="480" w:lineRule="auto"/>
            </w:pPr>
            <w:r>
              <w:t>69</w:t>
            </w:r>
          </w:p>
        </w:tc>
        <w:tc>
          <w:tcPr>
            <w:tcW w:w="1134" w:type="dxa"/>
          </w:tcPr>
          <w:p w:rsidR="00C92BED" w:rsidRDefault="00C92BED" w:rsidP="00BD601A">
            <w:pPr>
              <w:spacing w:line="480" w:lineRule="auto"/>
            </w:pPr>
            <w:r>
              <w:t>152</w:t>
            </w:r>
          </w:p>
        </w:tc>
      </w:tr>
      <w:tr w:rsidR="00C92BED" w:rsidTr="00BD601A">
        <w:trPr>
          <w:jc w:val="center"/>
        </w:trPr>
        <w:tc>
          <w:tcPr>
            <w:tcW w:w="1696" w:type="dxa"/>
          </w:tcPr>
          <w:p w:rsidR="00C92BED" w:rsidRPr="00DD60D3" w:rsidRDefault="00C92BED" w:rsidP="00BD601A">
            <w:pPr>
              <w:spacing w:line="480" w:lineRule="auto"/>
              <w:jc w:val="right"/>
            </w:pPr>
            <w:r>
              <w:t>% C</w:t>
            </w:r>
            <w:r w:rsidRPr="00DD60D3">
              <w:t>orrect</w:t>
            </w:r>
          </w:p>
        </w:tc>
        <w:tc>
          <w:tcPr>
            <w:tcW w:w="1134" w:type="dxa"/>
          </w:tcPr>
          <w:p w:rsidR="00C92BED" w:rsidRDefault="00C92BED" w:rsidP="00BD601A">
            <w:pPr>
              <w:spacing w:line="480" w:lineRule="auto"/>
            </w:pPr>
            <w:r>
              <w:t>94.4%</w:t>
            </w:r>
          </w:p>
        </w:tc>
        <w:tc>
          <w:tcPr>
            <w:tcW w:w="1134" w:type="dxa"/>
          </w:tcPr>
          <w:p w:rsidR="00C92BED" w:rsidRDefault="00C92BED" w:rsidP="00BD601A">
            <w:pPr>
              <w:spacing w:line="480" w:lineRule="auto"/>
            </w:pPr>
            <w:r>
              <w:t>97.1%</w:t>
            </w:r>
          </w:p>
        </w:tc>
        <w:tc>
          <w:tcPr>
            <w:tcW w:w="1134" w:type="dxa"/>
          </w:tcPr>
          <w:p w:rsidR="00C92BED" w:rsidRDefault="00C92BED" w:rsidP="00BD601A">
            <w:pPr>
              <w:spacing w:line="480" w:lineRule="auto"/>
            </w:pPr>
            <w:r>
              <w:t>92.0%</w:t>
            </w:r>
          </w:p>
        </w:tc>
        <w:tc>
          <w:tcPr>
            <w:tcW w:w="1134" w:type="dxa"/>
          </w:tcPr>
          <w:p w:rsidR="00C92BED" w:rsidRDefault="00C92BED" w:rsidP="00BD601A">
            <w:pPr>
              <w:spacing w:line="480" w:lineRule="auto"/>
            </w:pPr>
            <w:r>
              <w:t>94.4%</w:t>
            </w:r>
          </w:p>
        </w:tc>
      </w:tr>
    </w:tbl>
    <w:p w:rsidR="00C92BED" w:rsidRPr="00E84CDA" w:rsidRDefault="00C92BED" w:rsidP="00C92BED">
      <w:pPr>
        <w:spacing w:line="480" w:lineRule="auto"/>
        <w:jc w:val="both"/>
        <w:rPr>
          <w:i/>
        </w:rPr>
      </w:pPr>
      <w:bookmarkStart w:id="0" w:name="_GoBack"/>
      <w:r>
        <w:rPr>
          <w:i/>
        </w:rPr>
        <w:t>S1</w:t>
      </w:r>
      <w:r w:rsidR="00D66086">
        <w:rPr>
          <w:i/>
        </w:rPr>
        <w:t xml:space="preserve"> Table</w:t>
      </w:r>
      <w:r w:rsidRPr="00E84CDA">
        <w:rPr>
          <w:i/>
        </w:rPr>
        <w:t xml:space="preserve">: Verification data summaries, excluding patients with a reported age difference greater than 15 years. Note that the reported </w:t>
      </w:r>
      <w:proofErr w:type="spellStart"/>
      <w:r w:rsidRPr="00E84CDA">
        <w:rPr>
          <w:i/>
        </w:rPr>
        <w:t>lymphoedema</w:t>
      </w:r>
      <w:proofErr w:type="spellEnd"/>
      <w:r>
        <w:rPr>
          <w:i/>
        </w:rPr>
        <w:t>-elephantiasis</w:t>
      </w:r>
      <w:r w:rsidRPr="00E84CDA">
        <w:rPr>
          <w:i/>
        </w:rPr>
        <w:t xml:space="preserve"> and </w:t>
      </w:r>
      <w:proofErr w:type="spellStart"/>
      <w:r w:rsidRPr="00E84CDA">
        <w:rPr>
          <w:i/>
        </w:rPr>
        <w:t>hydrocoele</w:t>
      </w:r>
      <w:proofErr w:type="spellEnd"/>
      <w:r w:rsidRPr="00E84CDA">
        <w:rPr>
          <w:i/>
        </w:rPr>
        <w:t xml:space="preserve"> rows include those who were reported to have both conditions. The report was considered to be correct if the patient was confirmed to have the reported condition, regardless of whether or not another LF-related condition was also reported or confirmed.</w:t>
      </w:r>
    </w:p>
    <w:bookmarkEnd w:id="0"/>
    <w:p w:rsidR="002C5411" w:rsidRDefault="002C5411"/>
    <w:sectPr w:rsidR="002C5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ED"/>
    <w:rsid w:val="002C5411"/>
    <w:rsid w:val="005E4347"/>
    <w:rsid w:val="00C92BED"/>
    <w:rsid w:val="00D66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6FD5"/>
  <w15:chartTrackingRefBased/>
  <w15:docId w15:val="{A2AC6CC5-E268-43EF-8CBA-B8597065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2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Stanton</dc:creator>
  <cp:keywords/>
  <dc:description/>
  <cp:lastModifiedBy>Michelle Stanton</cp:lastModifiedBy>
  <cp:revision>3</cp:revision>
  <dcterms:created xsi:type="dcterms:W3CDTF">2016-12-15T09:11:00Z</dcterms:created>
  <dcterms:modified xsi:type="dcterms:W3CDTF">2017-06-29T15:57:00Z</dcterms:modified>
</cp:coreProperties>
</file>