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E7" w:rsidRDefault="00801AB5" w:rsidP="007B09E7">
      <w:pPr>
        <w:tabs>
          <w:tab w:val="left" w:pos="851"/>
        </w:tabs>
        <w:spacing w:after="0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r w:rsidRPr="00D83A63">
        <w:rPr>
          <w:rFonts w:ascii="Arial" w:eastAsia="Times New Roman" w:hAnsi="Arial" w:cs="Arial"/>
          <w:b/>
          <w:color w:val="333333"/>
        </w:rPr>
        <w:t xml:space="preserve">CONSORT 2010 checklist of information to include when reporting a cluster randomised trial </w:t>
      </w:r>
    </w:p>
    <w:tbl>
      <w:tblPr>
        <w:tblStyle w:val="MediumShading1-Accent5"/>
        <w:tblW w:w="5350" w:type="pct"/>
        <w:tblLook w:val="04A0" w:firstRow="1" w:lastRow="0" w:firstColumn="1" w:lastColumn="0" w:noHBand="0" w:noVBand="1"/>
      </w:tblPr>
      <w:tblGrid>
        <w:gridCol w:w="1754"/>
        <w:gridCol w:w="603"/>
        <w:gridCol w:w="2496"/>
        <w:gridCol w:w="2892"/>
        <w:gridCol w:w="2144"/>
      </w:tblGrid>
      <w:tr w:rsidR="000849CD" w:rsidRPr="009A5E9F" w:rsidTr="000A6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462" w:type="pct"/>
            <w:hideMark/>
          </w:tcPr>
          <w:p w:rsidR="000849CD" w:rsidRPr="009A5E9F" w:rsidRDefault="000849CD" w:rsidP="000A696D">
            <w:pPr>
              <w:tabs>
                <w:tab w:val="left" w:pos="2869"/>
              </w:tabs>
              <w:spacing w:after="0"/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1085" w:type="pct"/>
          </w:tcPr>
          <w:p w:rsidR="000849CD" w:rsidRPr="009A5E9F" w:rsidRDefault="004D7B3E" w:rsidP="000A696D">
            <w:pPr>
              <w:tabs>
                <w:tab w:val="left" w:pos="2869"/>
              </w:tabs>
              <w:spacing w:after="0"/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Response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gridSpan w:val="4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1085" w:type="pct"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1085" w:type="pct"/>
          </w:tcPr>
          <w:p w:rsidR="000849CD" w:rsidRPr="0020091A" w:rsidRDefault="00C065AE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</w:t>
            </w:r>
            <w:r w:rsidR="004D7B3E">
              <w:rPr>
                <w:rFonts w:eastAsia="Times New Roman" w:cs="Arial"/>
                <w:sz w:val="19"/>
                <w:szCs w:val="19"/>
              </w:rPr>
              <w:t>es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262" w:type="pct"/>
            <w:hideMark/>
          </w:tcPr>
          <w:p w:rsidR="000849CD" w:rsidRPr="009A5E9F" w:rsidRDefault="000849CD" w:rsidP="007B09E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Structured summary of trial design, methods, results, and conclusions 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</w:p>
        </w:tc>
        <w:tc>
          <w:tcPr>
            <w:tcW w:w="1085" w:type="pct"/>
          </w:tcPr>
          <w:p w:rsidR="000849CD" w:rsidRPr="0020091A" w:rsidRDefault="00C065AE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Y</w:t>
            </w:r>
            <w:r w:rsidR="004D7B3E">
              <w:rPr>
                <w:rFonts w:eastAsia="Times New Roman" w:cs="Arial"/>
                <w:sz w:val="19"/>
                <w:szCs w:val="19"/>
              </w:rPr>
              <w:t>es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gridSpan w:val="4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1085" w:type="pct"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1085" w:type="pct"/>
          </w:tcPr>
          <w:p w:rsidR="000849CD" w:rsidRPr="0020091A" w:rsidRDefault="007B09E7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</w:t>
            </w:r>
            <w:r w:rsidR="00C065AE">
              <w:rPr>
                <w:rFonts w:eastAsia="Times New Roman" w:cs="Arial"/>
                <w:sz w:val="19"/>
                <w:szCs w:val="19"/>
              </w:rPr>
              <w:t>ossible school-based herd effect of intervention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1085" w:type="pct"/>
          </w:tcPr>
          <w:p w:rsidR="000849CD" w:rsidRPr="0020091A" w:rsidRDefault="00C065AE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Both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gridSpan w:val="4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1085" w:type="pct"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462" w:type="pct"/>
            <w:hideMark/>
          </w:tcPr>
          <w:p w:rsidR="000849CD" w:rsidRPr="00DC5400" w:rsidRDefault="000849CD" w:rsidP="000A69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1085" w:type="pct"/>
          </w:tcPr>
          <w:p w:rsidR="000849CD" w:rsidRPr="00221E03" w:rsidRDefault="00C065AE" w:rsidP="000A69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proofErr w:type="gramStart"/>
            <w:r w:rsidRPr="00C065AE">
              <w:rPr>
                <w:rFonts w:eastAsia="Times New Roman" w:cs="Arial"/>
                <w:sz w:val="19"/>
                <w:szCs w:val="19"/>
              </w:rPr>
              <w:t>Cross</w:t>
            </w:r>
            <w:r>
              <w:rPr>
                <w:rFonts w:eastAsia="Times New Roman" w:cs="Arial"/>
                <w:sz w:val="19"/>
                <w:szCs w:val="19"/>
              </w:rPr>
              <w:t>-over</w:t>
            </w:r>
            <w:proofErr w:type="gramEnd"/>
            <w:r>
              <w:rPr>
                <w:rFonts w:eastAsia="Times New Roman" w:cs="Arial"/>
                <w:sz w:val="19"/>
                <w:szCs w:val="19"/>
              </w:rPr>
              <w:t xml:space="preserve"> design by school, covering two disease transmission seasons, so that unknown variations between schools would be controlled.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462" w:type="pct"/>
            <w:hideMark/>
          </w:tcPr>
          <w:p w:rsidR="000849CD" w:rsidRPr="00C065AE" w:rsidRDefault="000849CD" w:rsidP="000A69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C065AE" w:rsidRDefault="00C065AE" w:rsidP="000A69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065AE">
              <w:rPr>
                <w:rFonts w:eastAsia="Times New Roman" w:cs="Arial"/>
                <w:sz w:val="19"/>
                <w:szCs w:val="19"/>
              </w:rPr>
              <w:t xml:space="preserve">The </w:t>
            </w:r>
            <w:r>
              <w:rPr>
                <w:rFonts w:eastAsia="Times New Roman" w:cs="Arial"/>
                <w:sz w:val="19"/>
                <w:szCs w:val="19"/>
              </w:rPr>
              <w:t xml:space="preserve">trial was curtailed after the first </w:t>
            </w:r>
            <w:r w:rsidR="000A696D">
              <w:rPr>
                <w:rFonts w:eastAsia="Times New Roman" w:cs="Arial"/>
                <w:sz w:val="19"/>
                <w:szCs w:val="19"/>
              </w:rPr>
              <w:t>season due to the unsatisfactorily low</w:t>
            </w:r>
            <w:r>
              <w:rPr>
                <w:rFonts w:eastAsia="Times New Roman" w:cs="Arial"/>
                <w:sz w:val="19"/>
                <w:szCs w:val="19"/>
              </w:rPr>
              <w:t xml:space="preserve"> persistence of insecticide on the school uniforms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1085" w:type="pct"/>
          </w:tcPr>
          <w:p w:rsidR="000849CD" w:rsidRPr="0020091A" w:rsidRDefault="000A696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All 24 schools in the District were eligible to participate; 10 decided to do so. Within participating schools, individual students were eligible (with parental consent).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462" w:type="pct"/>
            <w:hideMark/>
          </w:tcPr>
          <w:p w:rsidR="000849CD" w:rsidRPr="000A696D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0A696D" w:rsidRDefault="000A696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0A696D">
              <w:rPr>
                <w:rFonts w:eastAsia="Times New Roman" w:cs="Arial"/>
                <w:sz w:val="19"/>
                <w:szCs w:val="19"/>
              </w:rPr>
              <w:t>Schools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1085" w:type="pct"/>
          </w:tcPr>
          <w:p w:rsidR="000849CD" w:rsidRPr="0020091A" w:rsidRDefault="000A696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Interventions were at the individual level, with participants’ school uniforms getting insecticide treatment (intervention) or washing (control)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secondary outcome measures, including how and when they were assessed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 xml:space="preserve">Whether outcome measures pertain to </w:t>
            </w:r>
            <w:proofErr w:type="gramStart"/>
            <w:r w:rsidRPr="0020091A">
              <w:rPr>
                <w:rFonts w:eastAsia="Times New Roman" w:cs="Arial"/>
                <w:sz w:val="19"/>
                <w:szCs w:val="19"/>
              </w:rPr>
              <w:t>the  cluster</w:t>
            </w:r>
            <w:proofErr w:type="gramEnd"/>
            <w:r w:rsidRPr="0020091A">
              <w:rPr>
                <w:rFonts w:eastAsia="Times New Roman" w:cs="Arial"/>
                <w:sz w:val="19"/>
                <w:szCs w:val="19"/>
              </w:rPr>
              <w:t xml:space="preserve">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1085" w:type="pct"/>
          </w:tcPr>
          <w:p w:rsidR="000849CD" w:rsidRPr="0020091A" w:rsidRDefault="000A696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 xml:space="preserve">Both; dengue infections were assessed in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individual participants</w:t>
            </w:r>
            <w:r w:rsidR="009D3030">
              <w:rPr>
                <w:rFonts w:eastAsia="Times New Roman" w:cs="Arial"/>
                <w:sz w:val="19"/>
                <w:szCs w:val="19"/>
              </w:rPr>
              <w:t xml:space="preserve">; </w:t>
            </w:r>
            <w:r>
              <w:rPr>
                <w:rFonts w:eastAsia="Times New Roman" w:cs="Arial"/>
                <w:sz w:val="19"/>
                <w:szCs w:val="19"/>
              </w:rPr>
              <w:t>and mosquito catches were made in schools.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462" w:type="pct"/>
            <w:hideMark/>
          </w:tcPr>
          <w:p w:rsidR="000849CD" w:rsidRPr="000A696D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0A696D" w:rsidRDefault="000A696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No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1085" w:type="pct"/>
          </w:tcPr>
          <w:p w:rsidR="000849CD" w:rsidRPr="0020091A" w:rsidRDefault="009D3030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Described in a previous paper </w:t>
            </w:r>
            <w:r w:rsidRPr="009D3030">
              <w:rPr>
                <w:rFonts w:cs="Arial"/>
                <w:i/>
                <w:sz w:val="19"/>
                <w:szCs w:val="19"/>
                <w:lang w:val="en-US"/>
              </w:rPr>
              <w:t>Trials</w:t>
            </w:r>
            <w:r w:rsidRPr="009D3030">
              <w:rPr>
                <w:rFonts w:cs="Arial"/>
                <w:sz w:val="19"/>
                <w:szCs w:val="19"/>
                <w:lang w:val="en-US"/>
              </w:rPr>
              <w:t xml:space="preserve"> 2012; </w:t>
            </w:r>
            <w:r w:rsidRPr="009D3030">
              <w:rPr>
                <w:rFonts w:cs="Arial"/>
                <w:b/>
                <w:sz w:val="19"/>
                <w:szCs w:val="19"/>
                <w:lang w:val="en-US"/>
              </w:rPr>
              <w:t>13</w:t>
            </w:r>
            <w:r w:rsidRPr="009D3030">
              <w:rPr>
                <w:rFonts w:cs="Arial"/>
                <w:sz w:val="19"/>
                <w:szCs w:val="19"/>
                <w:lang w:val="en-US"/>
              </w:rPr>
              <w:t>: 212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462" w:type="pct"/>
            <w:hideMark/>
          </w:tcPr>
          <w:p w:rsidR="000849CD" w:rsidRPr="009D3030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9D3030" w:rsidRDefault="009D3030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Adverse reactions to insecticide would have stopped the trial.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gridSpan w:val="4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1085" w:type="pct"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462" w:type="pct"/>
            <w:hideMark/>
          </w:tcPr>
          <w:p w:rsidR="000849CD" w:rsidRPr="009D3030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9D3030" w:rsidRDefault="009D3030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Random numbers generated for each participating school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1085" w:type="pct"/>
          </w:tcPr>
          <w:p w:rsidR="000849CD" w:rsidRPr="0020091A" w:rsidRDefault="009D3030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No stratification or matching as this was covered by the cross-over design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1085" w:type="pct"/>
          </w:tcPr>
          <w:p w:rsidR="000849CD" w:rsidRPr="0020091A" w:rsidRDefault="009B0662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Random allocation known only to the investigator in Sweden who undertook the randomisation and to the company undertaking the insecticide impregnation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1085" w:type="pct"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62" w:type="pct"/>
            <w:hideMark/>
          </w:tcPr>
          <w:p w:rsidR="000849CD" w:rsidRPr="0020091A" w:rsidRDefault="000849CD" w:rsidP="007B09E7">
            <w:pPr>
              <w:pStyle w:val="Comment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</w:tc>
        <w:tc>
          <w:tcPr>
            <w:tcW w:w="1085" w:type="pct"/>
          </w:tcPr>
          <w:p w:rsidR="000849CD" w:rsidRPr="0020091A" w:rsidRDefault="009B0662" w:rsidP="000A696D">
            <w:pPr>
              <w:pStyle w:val="CommentText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Schools which agreed to participate were randomly assigned to intervention in first or second year of cross-over by Peter </w:t>
            </w:r>
            <w:proofErr w:type="spellStart"/>
            <w:r>
              <w:rPr>
                <w:rFonts w:eastAsia="Times New Roman" w:cs="Arial"/>
                <w:sz w:val="19"/>
                <w:szCs w:val="19"/>
              </w:rPr>
              <w:t>Byass</w:t>
            </w:r>
            <w:proofErr w:type="spellEnd"/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085" w:type="pct"/>
          </w:tcPr>
          <w:p w:rsidR="000849CD" w:rsidRPr="0020091A" w:rsidRDefault="009B0662" w:rsidP="000A696D">
            <w:pPr>
              <w:pStyle w:val="CommentText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Students were included as eligible according to their school’s participation and randomisation.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62" w:type="pct"/>
            <w:hideMark/>
          </w:tcPr>
          <w:p w:rsidR="000849CD" w:rsidRPr="0020091A" w:rsidRDefault="000849CD" w:rsidP="007B09E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From whom consent was sought (representatives of the cluster, or individual cluster members, or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both), and whether consent was sought before or after randomisation</w:t>
            </w:r>
          </w:p>
        </w:tc>
        <w:tc>
          <w:tcPr>
            <w:tcW w:w="1085" w:type="pct"/>
          </w:tcPr>
          <w:p w:rsidR="000849CD" w:rsidRPr="0020091A" w:rsidRDefault="009B0662" w:rsidP="000A69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 xml:space="preserve">Consent was sought from students’ parents, and also from older </w:t>
            </w:r>
            <w:r>
              <w:rPr>
                <w:rFonts w:cs="Arial"/>
                <w:sz w:val="19"/>
                <w:szCs w:val="19"/>
              </w:rPr>
              <w:lastRenderedPageBreak/>
              <w:t>students themselves.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462" w:type="pct"/>
            <w:hideMark/>
          </w:tcPr>
          <w:p w:rsidR="000849CD" w:rsidRPr="009B0662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9B0662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462" w:type="pct"/>
            <w:hideMark/>
          </w:tcPr>
          <w:p w:rsidR="000849CD" w:rsidRPr="009B0662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9B0662" w:rsidRDefault="009B0662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B0662">
              <w:rPr>
                <w:rFonts w:eastAsia="Times New Roman" w:cs="Arial"/>
                <w:sz w:val="19"/>
                <w:szCs w:val="19"/>
              </w:rPr>
              <w:t>Everyone working on-site in Thailand was blinded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462" w:type="pct"/>
            <w:hideMark/>
          </w:tcPr>
          <w:p w:rsidR="000849CD" w:rsidRPr="009B0662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9B0662" w:rsidRDefault="009B0662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All school uniforms were externally processed; all were washed, and for the </w:t>
            </w:r>
            <w:r w:rsidR="0072310C">
              <w:rPr>
                <w:rFonts w:eastAsia="Times New Roman" w:cs="Arial"/>
                <w:sz w:val="19"/>
                <w:szCs w:val="19"/>
              </w:rPr>
              <w:t>intervention group insecticide impregnation carried out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1085" w:type="pct"/>
          </w:tcPr>
          <w:p w:rsidR="000849CD" w:rsidRPr="0020091A" w:rsidRDefault="0072310C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By a design factor as described in the earlier paper </w:t>
            </w:r>
            <w:r w:rsidRPr="0072310C">
              <w:rPr>
                <w:rFonts w:cs="Arial"/>
                <w:i/>
                <w:sz w:val="19"/>
                <w:szCs w:val="19"/>
                <w:lang w:val="en-US"/>
              </w:rPr>
              <w:t>Trials</w:t>
            </w:r>
            <w:r w:rsidRPr="0072310C">
              <w:rPr>
                <w:rFonts w:cs="Arial"/>
                <w:sz w:val="19"/>
                <w:szCs w:val="19"/>
                <w:lang w:val="en-US"/>
              </w:rPr>
              <w:t xml:space="preserve"> 2012; </w:t>
            </w:r>
            <w:r w:rsidRPr="0072310C">
              <w:rPr>
                <w:rFonts w:cs="Arial"/>
                <w:b/>
                <w:sz w:val="19"/>
                <w:szCs w:val="19"/>
                <w:lang w:val="en-US"/>
              </w:rPr>
              <w:t>13</w:t>
            </w:r>
            <w:r w:rsidRPr="0072310C">
              <w:rPr>
                <w:rFonts w:cs="Arial"/>
                <w:sz w:val="19"/>
                <w:szCs w:val="19"/>
                <w:lang w:val="en-US"/>
              </w:rPr>
              <w:t>: 212</w:t>
            </w:r>
            <w:r>
              <w:rPr>
                <w:rFonts w:cs="Arial"/>
                <w:sz w:val="19"/>
                <w:szCs w:val="19"/>
                <w:lang w:val="en-US"/>
              </w:rPr>
              <w:t>, and by the cross-over design</w:t>
            </w:r>
            <w:r w:rsidR="00DE4D72">
              <w:rPr>
                <w:rFonts w:cs="Arial"/>
                <w:sz w:val="19"/>
                <w:szCs w:val="19"/>
                <w:lang w:val="en-US"/>
              </w:rPr>
              <w:t>; a full analysis as per the design was not possible due to the early termination of the trial.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9956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</w:rPr>
              <w:t>n</w:t>
            </w:r>
            <w:proofErr w:type="gramEnd"/>
            <w:r>
              <w:rPr>
                <w:rFonts w:eastAsia="Times New Roman" w:cs="Arial"/>
                <w:sz w:val="19"/>
                <w:szCs w:val="19"/>
              </w:rPr>
              <w:t>/a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gridSpan w:val="4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1085" w:type="pct"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1085" w:type="pct"/>
          </w:tcPr>
          <w:p w:rsidR="000849CD" w:rsidRPr="0020091A" w:rsidRDefault="009956CD" w:rsidP="00081D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 schools in each group; 6</w:t>
            </w:r>
            <w:r w:rsidR="005341B8">
              <w:rPr>
                <w:rFonts w:eastAsia="Times New Roman" w:cs="Arial"/>
                <w:sz w:val="19"/>
                <w:szCs w:val="19"/>
              </w:rPr>
              <w:t>79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081D28">
              <w:rPr>
                <w:rFonts w:eastAsia="Times New Roman" w:cs="Arial"/>
                <w:sz w:val="19"/>
                <w:szCs w:val="19"/>
              </w:rPr>
              <w:t xml:space="preserve">in control </w:t>
            </w:r>
            <w:r>
              <w:rPr>
                <w:rFonts w:eastAsia="Times New Roman" w:cs="Arial"/>
                <w:sz w:val="19"/>
                <w:szCs w:val="19"/>
              </w:rPr>
              <w:t>a</w:t>
            </w:r>
            <w:r w:rsidR="00081D28">
              <w:rPr>
                <w:rFonts w:eastAsia="Times New Roman" w:cs="Arial"/>
                <w:sz w:val="19"/>
                <w:szCs w:val="19"/>
              </w:rPr>
              <w:t>n</w:t>
            </w:r>
            <w:r>
              <w:rPr>
                <w:rFonts w:eastAsia="Times New Roman" w:cs="Arial"/>
                <w:sz w:val="19"/>
                <w:szCs w:val="19"/>
              </w:rPr>
              <w:t>d 1,</w:t>
            </w:r>
            <w:r w:rsidR="005341B8">
              <w:rPr>
                <w:rFonts w:eastAsia="Times New Roman" w:cs="Arial"/>
                <w:sz w:val="19"/>
                <w:szCs w:val="19"/>
              </w:rPr>
              <w:t>132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081D28">
              <w:rPr>
                <w:rFonts w:eastAsia="Times New Roman" w:cs="Arial"/>
                <w:sz w:val="19"/>
                <w:szCs w:val="19"/>
              </w:rPr>
              <w:t>in intervention schools</w:t>
            </w:r>
            <w:r w:rsidR="00252418">
              <w:rPr>
                <w:rFonts w:eastAsia="Times New Roman" w:cs="Arial"/>
                <w:sz w:val="19"/>
                <w:szCs w:val="19"/>
              </w:rPr>
              <w:t xml:space="preserve"> (in total 181</w:t>
            </w:r>
            <w:r w:rsidR="00081D28">
              <w:rPr>
                <w:rFonts w:eastAsia="Times New Roman" w:cs="Arial"/>
                <w:sz w:val="19"/>
                <w:szCs w:val="19"/>
              </w:rPr>
              <w:t>1). Analysed for the primary outcome based on complete paired blood samples were 1655 students from all 10 schools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1085" w:type="pct"/>
          </w:tcPr>
          <w:p w:rsidR="000849CD" w:rsidRPr="0020091A" w:rsidRDefault="009956CD" w:rsidP="009956C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No lost clusters; 1</w:t>
            </w:r>
            <w:r w:rsidR="005341B8">
              <w:rPr>
                <w:rFonts w:eastAsia="Times New Roman" w:cs="Arial"/>
                <w:sz w:val="19"/>
                <w:szCs w:val="19"/>
              </w:rPr>
              <w:t>56</w:t>
            </w:r>
            <w:r>
              <w:rPr>
                <w:rFonts w:eastAsia="Times New Roman" w:cs="Arial"/>
                <w:sz w:val="19"/>
                <w:szCs w:val="19"/>
              </w:rPr>
              <w:t xml:space="preserve"> individuals did not complete paired blood samples.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72310C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Recruitment before 2012 dengue season; follow-up during 2012 and 2013 seasons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72310C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Unsatisfactory insecticide persistence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1085" w:type="pct"/>
          </w:tcPr>
          <w:p w:rsidR="000849CD" w:rsidRPr="0020091A" w:rsidRDefault="009956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proofErr w:type="gramStart"/>
            <w:r>
              <w:rPr>
                <w:rFonts w:cs="Arial"/>
                <w:sz w:val="19"/>
                <w:szCs w:val="19"/>
              </w:rPr>
              <w:lastRenderedPageBreak/>
              <w:t>n</w:t>
            </w:r>
            <w:proofErr w:type="gramEnd"/>
            <w:r>
              <w:rPr>
                <w:rFonts w:cs="Arial"/>
                <w:sz w:val="19"/>
                <w:szCs w:val="19"/>
              </w:rPr>
              <w:t>/a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Numbers analysed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1085" w:type="pct"/>
          </w:tcPr>
          <w:p w:rsidR="000849CD" w:rsidRPr="0020091A" w:rsidRDefault="0072310C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 w:val="restar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1085" w:type="pct"/>
          </w:tcPr>
          <w:p w:rsidR="000849CD" w:rsidRPr="0020091A" w:rsidRDefault="009956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A full analysis of the </w:t>
            </w:r>
            <w:proofErr w:type="gramStart"/>
            <w:r>
              <w:rPr>
                <w:rFonts w:eastAsia="Times New Roman" w:cs="Arial"/>
                <w:sz w:val="19"/>
                <w:szCs w:val="19"/>
              </w:rPr>
              <w:t>cross-over</w:t>
            </w:r>
            <w:proofErr w:type="gramEnd"/>
            <w:r>
              <w:rPr>
                <w:rFonts w:eastAsia="Times New Roman" w:cs="Arial"/>
                <w:sz w:val="19"/>
                <w:szCs w:val="19"/>
              </w:rPr>
              <w:t xml:space="preserve"> cluster randomised design was not possible due to the termination of the trial due to a lack of insecticide persistence.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vMerge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9956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</w:rPr>
              <w:t>n</w:t>
            </w:r>
            <w:proofErr w:type="gramEnd"/>
            <w:r>
              <w:rPr>
                <w:rFonts w:eastAsia="Times New Roman" w:cs="Arial"/>
                <w:sz w:val="19"/>
                <w:szCs w:val="19"/>
              </w:rPr>
              <w:t>/a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9956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Although the trial was terminated early, results indicated lower numbers of mosquitoes inside intervention schools immediately after insecticide impregnation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262" w:type="pct"/>
            <w:hideMark/>
          </w:tcPr>
          <w:p w:rsidR="000849CD" w:rsidRPr="009A5E9F" w:rsidRDefault="000849CD" w:rsidP="007B09E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All important harms or unintended effects in each group 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9956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</w:rPr>
              <w:t>none</w:t>
            </w:r>
            <w:proofErr w:type="gramEnd"/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pct"/>
            <w:gridSpan w:val="4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1085" w:type="pct"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9956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The major limitation was the non-persistence of the </w:t>
            </w:r>
            <w:proofErr w:type="spellStart"/>
            <w:r>
              <w:rPr>
                <w:rFonts w:eastAsia="Times New Roman" w:cs="Arial"/>
                <w:sz w:val="19"/>
                <w:szCs w:val="19"/>
              </w:rPr>
              <w:t>permethrin</w:t>
            </w:r>
            <w:proofErr w:type="spellEnd"/>
            <w:r>
              <w:rPr>
                <w:rFonts w:eastAsia="Times New Roman" w:cs="Arial"/>
                <w:sz w:val="19"/>
                <w:szCs w:val="19"/>
              </w:rPr>
              <w:t xml:space="preserve"> insecticide on the uniforms, leading to the early termination of the trial.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(external validity, applicability) of the trial findings</w:t>
            </w:r>
          </w:p>
        </w:tc>
        <w:tc>
          <w:tcPr>
            <w:tcW w:w="1462" w:type="pct"/>
            <w:hideMark/>
          </w:tcPr>
          <w:p w:rsidR="000849CD" w:rsidRPr="0020091A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20091A">
              <w:rPr>
                <w:rFonts w:eastAsia="Calibri" w:cs="Arial"/>
                <w:sz w:val="19"/>
                <w:szCs w:val="19"/>
              </w:rPr>
              <w:t>Generalisability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1085" w:type="pct"/>
          </w:tcPr>
          <w:p w:rsidR="000849CD" w:rsidRPr="0020091A" w:rsidRDefault="009956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In principle this would be generalizable to other schools in dengue endemic areas.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9956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Full interpretation of the original aims of the trial is not possible following termination.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gridSpan w:val="3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9D361C" w:rsidP="009D361C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gramStart"/>
            <w:r w:rsidRPr="009956CD">
              <w:rPr>
                <w:rFonts w:eastAsia="Times New Roman" w:cs="Arial"/>
                <w:sz w:val="19"/>
                <w:szCs w:val="19"/>
              </w:rPr>
              <w:t>www.clinicaltrial.gov</w:t>
            </w:r>
            <w:proofErr w:type="gramEnd"/>
            <w:r w:rsidRPr="009956CD">
              <w:rPr>
                <w:rFonts w:eastAsia="Times New Roman" w:cs="Arial"/>
                <w:sz w:val="19"/>
                <w:szCs w:val="19"/>
              </w:rPr>
              <w:t xml:space="preserve"> NCT01563640</w:t>
            </w:r>
          </w:p>
        </w:tc>
      </w:tr>
      <w:tr w:rsidR="000849CD" w:rsidRPr="009A5E9F" w:rsidTr="000A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72310C" w:rsidP="000A696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72310C">
              <w:rPr>
                <w:rFonts w:eastAsia="Times New Roman" w:cs="Arial"/>
                <w:i/>
                <w:sz w:val="19"/>
                <w:szCs w:val="19"/>
                <w:lang w:val="en-US"/>
              </w:rPr>
              <w:t>Trials</w:t>
            </w:r>
            <w:r w:rsidRPr="0072310C">
              <w:rPr>
                <w:rFonts w:eastAsia="Times New Roman" w:cs="Arial"/>
                <w:sz w:val="19"/>
                <w:szCs w:val="19"/>
                <w:lang w:val="en-US"/>
              </w:rPr>
              <w:t xml:space="preserve"> 2012; </w:t>
            </w:r>
            <w:r w:rsidRPr="0072310C">
              <w:rPr>
                <w:rFonts w:eastAsia="Times New Roman" w:cs="Arial"/>
                <w:b/>
                <w:sz w:val="19"/>
                <w:szCs w:val="19"/>
                <w:lang w:val="en-US"/>
              </w:rPr>
              <w:t>13</w:t>
            </w:r>
            <w:r w:rsidRPr="0072310C">
              <w:rPr>
                <w:rFonts w:eastAsia="Times New Roman" w:cs="Arial"/>
                <w:sz w:val="19"/>
                <w:szCs w:val="19"/>
                <w:lang w:val="en-US"/>
              </w:rPr>
              <w:t>: 212</w:t>
            </w:r>
          </w:p>
        </w:tc>
      </w:tr>
      <w:tr w:rsidR="000849CD" w:rsidRPr="009A5E9F" w:rsidTr="000A6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" w:type="pct"/>
            <w:hideMark/>
          </w:tcPr>
          <w:p w:rsidR="000849CD" w:rsidRPr="009A5E9F" w:rsidRDefault="000849CD" w:rsidP="000A696D">
            <w:pPr>
              <w:spacing w:after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Funding</w:t>
            </w:r>
          </w:p>
        </w:tc>
        <w:tc>
          <w:tcPr>
            <w:tcW w:w="305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262" w:type="pct"/>
            <w:hideMark/>
          </w:tcPr>
          <w:p w:rsidR="000849CD" w:rsidRPr="009A5E9F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462" w:type="pct"/>
            <w:hideMark/>
          </w:tcPr>
          <w:p w:rsidR="000849CD" w:rsidRPr="0072310C" w:rsidRDefault="000849CD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085" w:type="pct"/>
          </w:tcPr>
          <w:p w:rsidR="000849CD" w:rsidRPr="0072310C" w:rsidRDefault="0072310C" w:rsidP="000A696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European Commission</w:t>
            </w:r>
          </w:p>
        </w:tc>
      </w:tr>
    </w:tbl>
    <w:p w:rsidR="00801AB5" w:rsidRDefault="00801AB5" w:rsidP="007B09E7">
      <w:pPr>
        <w:spacing w:after="0"/>
        <w:rPr>
          <w:rFonts w:ascii="Arial" w:eastAsia="Times New Roman" w:hAnsi="Arial" w:cs="Arial"/>
          <w:b/>
          <w:color w:val="333333"/>
        </w:rPr>
      </w:pP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62" w:rsidRDefault="009F2F62" w:rsidP="00F600A8">
      <w:pPr>
        <w:spacing w:after="0" w:line="240" w:lineRule="auto"/>
      </w:pPr>
      <w:r>
        <w:separator/>
      </w:r>
    </w:p>
  </w:endnote>
  <w:endnote w:type="continuationSeparator" w:id="0">
    <w:p w:rsidR="009F2F62" w:rsidRDefault="009F2F62" w:rsidP="00F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62" w:rsidRDefault="009F2F62" w:rsidP="00F600A8">
      <w:pPr>
        <w:spacing w:after="0" w:line="240" w:lineRule="auto"/>
      </w:pPr>
      <w:r>
        <w:separator/>
      </w:r>
    </w:p>
  </w:footnote>
  <w:footnote w:type="continuationSeparator" w:id="0">
    <w:p w:rsidR="009F2F62" w:rsidRDefault="009F2F62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550B"/>
    <w:rsid w:val="00063E25"/>
    <w:rsid w:val="00081D28"/>
    <w:rsid w:val="000849CD"/>
    <w:rsid w:val="000A696D"/>
    <w:rsid w:val="000E28DE"/>
    <w:rsid w:val="000F448E"/>
    <w:rsid w:val="00132F27"/>
    <w:rsid w:val="001536DD"/>
    <w:rsid w:val="00156604"/>
    <w:rsid w:val="001652C0"/>
    <w:rsid w:val="00181240"/>
    <w:rsid w:val="001A31AE"/>
    <w:rsid w:val="00203836"/>
    <w:rsid w:val="00252418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C1E67"/>
    <w:rsid w:val="004D7B3E"/>
    <w:rsid w:val="00513C44"/>
    <w:rsid w:val="00530527"/>
    <w:rsid w:val="005341B8"/>
    <w:rsid w:val="00582E1C"/>
    <w:rsid w:val="005849F6"/>
    <w:rsid w:val="00603557"/>
    <w:rsid w:val="006379D7"/>
    <w:rsid w:val="006D7B5A"/>
    <w:rsid w:val="006E59B7"/>
    <w:rsid w:val="007147D2"/>
    <w:rsid w:val="0072310C"/>
    <w:rsid w:val="00737CE2"/>
    <w:rsid w:val="007920D7"/>
    <w:rsid w:val="007B09E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956CD"/>
    <w:rsid w:val="009A0910"/>
    <w:rsid w:val="009B0662"/>
    <w:rsid w:val="009C726C"/>
    <w:rsid w:val="009D3030"/>
    <w:rsid w:val="009D361C"/>
    <w:rsid w:val="009F2F62"/>
    <w:rsid w:val="00A46F85"/>
    <w:rsid w:val="00A740FD"/>
    <w:rsid w:val="00A86249"/>
    <w:rsid w:val="00AB3A60"/>
    <w:rsid w:val="00AB7577"/>
    <w:rsid w:val="00AC5B17"/>
    <w:rsid w:val="00AF31AA"/>
    <w:rsid w:val="00B05A98"/>
    <w:rsid w:val="00B26428"/>
    <w:rsid w:val="00B44CAE"/>
    <w:rsid w:val="00B66F52"/>
    <w:rsid w:val="00BF43EB"/>
    <w:rsid w:val="00C065AE"/>
    <w:rsid w:val="00CA19D9"/>
    <w:rsid w:val="00CA5763"/>
    <w:rsid w:val="00CB0BCE"/>
    <w:rsid w:val="00CB7EFB"/>
    <w:rsid w:val="00CE3C40"/>
    <w:rsid w:val="00CF4AB4"/>
    <w:rsid w:val="00D33F26"/>
    <w:rsid w:val="00D5205A"/>
    <w:rsid w:val="00DD586B"/>
    <w:rsid w:val="00DE4D72"/>
    <w:rsid w:val="00DF0144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E7E2-C1FC-364D-BE2D-6D12A396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Leong Wei Yee</cp:lastModifiedBy>
  <cp:revision>2</cp:revision>
  <dcterms:created xsi:type="dcterms:W3CDTF">2016-11-28T14:14:00Z</dcterms:created>
  <dcterms:modified xsi:type="dcterms:W3CDTF">2016-11-28T14:14:00Z</dcterms:modified>
</cp:coreProperties>
</file>