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56C" w:rsidRDefault="00F20C70" w:rsidP="001D3D60">
      <w:pPr>
        <w:rPr>
          <w:rFonts w:ascii="Arial" w:hAnsi="Arial" w:cs="Arial"/>
          <w:b/>
        </w:rPr>
      </w:pPr>
      <w:r>
        <w:rPr>
          <w:rFonts w:ascii="Arial" w:hAnsi="Arial" w:cs="Arial"/>
          <w:b/>
        </w:rPr>
        <w:t xml:space="preserve">Supplementary </w:t>
      </w:r>
      <w:r w:rsidR="003C556C" w:rsidRPr="001C3954">
        <w:rPr>
          <w:rFonts w:ascii="Arial" w:hAnsi="Arial" w:cs="Arial"/>
          <w:b/>
        </w:rPr>
        <w:t>Tables</w:t>
      </w:r>
    </w:p>
    <w:p w:rsidR="00EE724B" w:rsidRPr="00D779ED" w:rsidRDefault="00EE724B" w:rsidP="00EE724B">
      <w:pPr>
        <w:pStyle w:val="TableofFigures"/>
        <w:tabs>
          <w:tab w:val="right" w:leader="dot" w:pos="9016"/>
        </w:tabs>
        <w:rPr>
          <w:rFonts w:ascii="Arial" w:hAnsi="Arial" w:cs="Arial"/>
          <w:b/>
          <w:sz w:val="16"/>
          <w:szCs w:val="16"/>
        </w:rPr>
      </w:pPr>
    </w:p>
    <w:p w:rsidR="00EE724B" w:rsidRPr="00D779ED" w:rsidRDefault="00EE724B" w:rsidP="00EE724B">
      <w:pPr>
        <w:spacing w:line="240" w:lineRule="auto"/>
        <w:jc w:val="both"/>
        <w:rPr>
          <w:rFonts w:ascii="Arial" w:hAnsi="Arial" w:cs="Arial"/>
          <w:b/>
          <w:sz w:val="16"/>
          <w:szCs w:val="16"/>
        </w:rPr>
      </w:pPr>
      <w:bookmarkStart w:id="0" w:name="_Toc404090762"/>
      <w:r w:rsidRPr="00D779ED">
        <w:rPr>
          <w:rFonts w:ascii="Arial" w:hAnsi="Arial" w:cs="Arial"/>
          <w:b/>
          <w:sz w:val="16"/>
          <w:szCs w:val="16"/>
        </w:rPr>
        <w:t>Table</w:t>
      </w:r>
      <w:r w:rsidR="0021653B">
        <w:rPr>
          <w:rFonts w:ascii="Arial" w:hAnsi="Arial" w:cs="Arial"/>
          <w:b/>
          <w:sz w:val="16"/>
          <w:szCs w:val="16"/>
        </w:rPr>
        <w:t xml:space="preserve"> A</w:t>
      </w:r>
      <w:r w:rsidRPr="00D779ED">
        <w:rPr>
          <w:rFonts w:ascii="Arial" w:hAnsi="Arial" w:cs="Arial"/>
          <w:b/>
          <w:sz w:val="16"/>
          <w:szCs w:val="16"/>
        </w:rPr>
        <w:t xml:space="preserve">. Hit-rate and Control definitions in Historic, Novel and </w:t>
      </w:r>
      <w:proofErr w:type="spellStart"/>
      <w:r w:rsidRPr="00D779ED">
        <w:rPr>
          <w:rFonts w:ascii="Arial" w:hAnsi="Arial" w:cs="Arial"/>
          <w:b/>
          <w:sz w:val="16"/>
          <w:szCs w:val="16"/>
        </w:rPr>
        <w:t>Intramacrophage</w:t>
      </w:r>
      <w:proofErr w:type="spellEnd"/>
      <w:r w:rsidRPr="00D779ED">
        <w:rPr>
          <w:rFonts w:ascii="Arial" w:hAnsi="Arial" w:cs="Arial"/>
          <w:b/>
          <w:sz w:val="16"/>
          <w:szCs w:val="16"/>
        </w:rPr>
        <w:t xml:space="preserve"> Assay.</w:t>
      </w:r>
      <w:bookmarkEnd w:id="0"/>
    </w:p>
    <w:tbl>
      <w:tblPr>
        <w:tblStyle w:val="TableGrid"/>
        <w:tblW w:w="927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758"/>
        <w:gridCol w:w="1701"/>
        <w:gridCol w:w="1985"/>
        <w:gridCol w:w="1276"/>
        <w:gridCol w:w="2551"/>
      </w:tblGrid>
      <w:tr w:rsidR="00EE724B" w:rsidRPr="00D779ED" w:rsidTr="00EE724B">
        <w:tc>
          <w:tcPr>
            <w:tcW w:w="1758" w:type="dxa"/>
            <w:tcMar>
              <w:left w:w="57" w:type="dxa"/>
              <w:right w:w="57" w:type="dxa"/>
            </w:tcMar>
            <w:vAlign w:val="center"/>
          </w:tcPr>
          <w:p w:rsidR="00EE724B" w:rsidRPr="00D779ED" w:rsidRDefault="00EE724B" w:rsidP="00EE724B">
            <w:pPr>
              <w:spacing w:before="60" w:after="60"/>
              <w:jc w:val="center"/>
              <w:rPr>
                <w:rFonts w:ascii="Arial" w:hAnsi="Arial" w:cs="Arial"/>
                <w:b/>
                <w:sz w:val="16"/>
                <w:szCs w:val="16"/>
              </w:rPr>
            </w:pPr>
          </w:p>
        </w:tc>
        <w:tc>
          <w:tcPr>
            <w:tcW w:w="1701" w:type="dxa"/>
            <w:tcMar>
              <w:left w:w="57" w:type="dxa"/>
              <w:right w:w="57" w:type="dxa"/>
            </w:tcMar>
            <w:vAlign w:val="center"/>
          </w:tcPr>
          <w:p w:rsidR="00EE724B" w:rsidRPr="00D779ED" w:rsidRDefault="00EE724B" w:rsidP="00EE724B">
            <w:pPr>
              <w:spacing w:before="60" w:after="60"/>
              <w:jc w:val="center"/>
              <w:rPr>
                <w:rFonts w:ascii="Arial" w:hAnsi="Arial" w:cs="Arial"/>
                <w:b/>
                <w:sz w:val="16"/>
                <w:szCs w:val="16"/>
              </w:rPr>
            </w:pPr>
            <w:r w:rsidRPr="00D779ED">
              <w:rPr>
                <w:rFonts w:ascii="Arial" w:hAnsi="Arial" w:cs="Arial"/>
                <w:b/>
                <w:sz w:val="16"/>
                <w:szCs w:val="16"/>
              </w:rPr>
              <w:t>0</w:t>
            </w:r>
            <w:r w:rsidRPr="00D779ED">
              <w:rPr>
                <w:sz w:val="16"/>
                <w:szCs w:val="16"/>
              </w:rPr>
              <w:t> </w:t>
            </w:r>
            <w:r w:rsidRPr="00D779ED">
              <w:rPr>
                <w:rFonts w:ascii="Arial" w:hAnsi="Arial" w:cs="Arial"/>
                <w:b/>
                <w:sz w:val="16"/>
                <w:szCs w:val="16"/>
              </w:rPr>
              <w:t>% Inhibition control</w:t>
            </w:r>
          </w:p>
        </w:tc>
        <w:tc>
          <w:tcPr>
            <w:tcW w:w="1985" w:type="dxa"/>
            <w:tcMar>
              <w:left w:w="57" w:type="dxa"/>
              <w:right w:w="57" w:type="dxa"/>
            </w:tcMar>
            <w:vAlign w:val="center"/>
          </w:tcPr>
          <w:p w:rsidR="00EE724B" w:rsidRPr="00D779ED" w:rsidRDefault="00EE724B" w:rsidP="00EE724B">
            <w:pPr>
              <w:spacing w:before="60" w:after="60"/>
              <w:jc w:val="center"/>
              <w:rPr>
                <w:rFonts w:ascii="Arial" w:hAnsi="Arial" w:cs="Arial"/>
                <w:b/>
                <w:sz w:val="16"/>
                <w:szCs w:val="16"/>
              </w:rPr>
            </w:pPr>
            <w:r w:rsidRPr="00D779ED">
              <w:rPr>
                <w:rFonts w:ascii="Arial" w:hAnsi="Arial" w:cs="Arial"/>
                <w:b/>
                <w:sz w:val="16"/>
                <w:szCs w:val="16"/>
              </w:rPr>
              <w:t>100</w:t>
            </w:r>
            <w:r w:rsidRPr="00D779ED">
              <w:rPr>
                <w:sz w:val="16"/>
                <w:szCs w:val="16"/>
              </w:rPr>
              <w:t> </w:t>
            </w:r>
            <w:r w:rsidRPr="00D779ED">
              <w:rPr>
                <w:rFonts w:ascii="Arial" w:hAnsi="Arial" w:cs="Arial"/>
                <w:b/>
                <w:sz w:val="16"/>
                <w:szCs w:val="16"/>
              </w:rPr>
              <w:t>% Inhibition control</w:t>
            </w:r>
          </w:p>
        </w:tc>
        <w:tc>
          <w:tcPr>
            <w:tcW w:w="1276" w:type="dxa"/>
            <w:tcMar>
              <w:left w:w="57" w:type="dxa"/>
              <w:right w:w="57" w:type="dxa"/>
            </w:tcMar>
            <w:vAlign w:val="center"/>
          </w:tcPr>
          <w:p w:rsidR="00EE724B" w:rsidRPr="00D779ED" w:rsidRDefault="00EE724B" w:rsidP="00EE724B">
            <w:pPr>
              <w:spacing w:before="60" w:after="60"/>
              <w:jc w:val="center"/>
              <w:rPr>
                <w:rFonts w:ascii="Arial" w:hAnsi="Arial" w:cs="Arial"/>
                <w:b/>
                <w:sz w:val="16"/>
                <w:szCs w:val="16"/>
              </w:rPr>
            </w:pPr>
            <w:r w:rsidRPr="00D779ED">
              <w:rPr>
                <w:rFonts w:ascii="Arial" w:hAnsi="Arial" w:cs="Arial"/>
                <w:b/>
                <w:sz w:val="16"/>
                <w:szCs w:val="16"/>
              </w:rPr>
              <w:t>0</w:t>
            </w:r>
            <w:r w:rsidRPr="00D779ED">
              <w:rPr>
                <w:sz w:val="16"/>
                <w:szCs w:val="16"/>
              </w:rPr>
              <w:t> </w:t>
            </w:r>
            <w:r w:rsidRPr="00D779ED">
              <w:rPr>
                <w:rFonts w:ascii="Arial" w:hAnsi="Arial" w:cs="Arial"/>
                <w:b/>
                <w:sz w:val="16"/>
                <w:szCs w:val="16"/>
              </w:rPr>
              <w:t>% THP-1 inhibition</w:t>
            </w:r>
          </w:p>
        </w:tc>
        <w:tc>
          <w:tcPr>
            <w:tcW w:w="2551" w:type="dxa"/>
            <w:tcMar>
              <w:left w:w="57" w:type="dxa"/>
              <w:right w:w="57" w:type="dxa"/>
            </w:tcMar>
            <w:vAlign w:val="center"/>
          </w:tcPr>
          <w:p w:rsidR="00EE724B" w:rsidRPr="00D779ED" w:rsidRDefault="00EE724B" w:rsidP="00EE724B">
            <w:pPr>
              <w:spacing w:before="60" w:after="60"/>
              <w:jc w:val="center"/>
              <w:rPr>
                <w:rFonts w:ascii="Arial" w:hAnsi="Arial" w:cs="Arial"/>
                <w:b/>
                <w:sz w:val="16"/>
                <w:szCs w:val="16"/>
              </w:rPr>
            </w:pPr>
            <w:r w:rsidRPr="00D779ED">
              <w:rPr>
                <w:rFonts w:ascii="Arial" w:hAnsi="Arial" w:cs="Arial"/>
                <w:b/>
                <w:sz w:val="16"/>
                <w:szCs w:val="16"/>
              </w:rPr>
              <w:t>Hit-rate definition</w:t>
            </w:r>
          </w:p>
        </w:tc>
      </w:tr>
      <w:tr w:rsidR="00EE724B" w:rsidRPr="00D779ED" w:rsidTr="00EE724B">
        <w:tc>
          <w:tcPr>
            <w:tcW w:w="1758" w:type="dxa"/>
            <w:tcMar>
              <w:left w:w="57" w:type="dxa"/>
              <w:right w:w="57" w:type="dxa"/>
            </w:tcMar>
            <w:vAlign w:val="center"/>
          </w:tcPr>
          <w:p w:rsidR="00EE724B" w:rsidRPr="00D779ED" w:rsidRDefault="00EE724B" w:rsidP="00EE724B">
            <w:pPr>
              <w:spacing w:before="60" w:after="60"/>
              <w:jc w:val="center"/>
              <w:rPr>
                <w:rFonts w:ascii="Arial" w:hAnsi="Arial" w:cs="Arial"/>
                <w:b/>
                <w:sz w:val="16"/>
                <w:szCs w:val="16"/>
              </w:rPr>
            </w:pPr>
            <w:r w:rsidRPr="00D779ED">
              <w:rPr>
                <w:rFonts w:ascii="Arial" w:hAnsi="Arial" w:cs="Arial"/>
                <w:b/>
                <w:sz w:val="16"/>
                <w:szCs w:val="16"/>
              </w:rPr>
              <w:t>Historic axenic</w:t>
            </w:r>
          </w:p>
        </w:tc>
        <w:tc>
          <w:tcPr>
            <w:tcW w:w="1701" w:type="dxa"/>
            <w:tcMar>
              <w:left w:w="57" w:type="dxa"/>
              <w:right w:w="57" w:type="dxa"/>
            </w:tcMar>
            <w:vAlign w:val="center"/>
          </w:tcPr>
          <w:p w:rsidR="00EE724B" w:rsidRPr="00D779ED" w:rsidRDefault="00EE724B" w:rsidP="00EE724B">
            <w:pPr>
              <w:spacing w:before="60" w:after="60"/>
              <w:jc w:val="center"/>
              <w:rPr>
                <w:rFonts w:ascii="Arial" w:hAnsi="Arial" w:cs="Arial"/>
                <w:sz w:val="16"/>
                <w:szCs w:val="16"/>
              </w:rPr>
            </w:pPr>
            <w:r w:rsidRPr="00D779ED">
              <w:rPr>
                <w:rFonts w:ascii="Arial" w:hAnsi="Arial" w:cs="Arial"/>
                <w:sz w:val="16"/>
                <w:szCs w:val="16"/>
              </w:rPr>
              <w:t>DMSO</w:t>
            </w:r>
          </w:p>
        </w:tc>
        <w:tc>
          <w:tcPr>
            <w:tcW w:w="1985" w:type="dxa"/>
            <w:tcMar>
              <w:left w:w="57" w:type="dxa"/>
              <w:right w:w="57" w:type="dxa"/>
            </w:tcMar>
            <w:vAlign w:val="center"/>
          </w:tcPr>
          <w:p w:rsidR="00EE724B" w:rsidRPr="00D779ED" w:rsidRDefault="00EE724B" w:rsidP="00EE724B">
            <w:pPr>
              <w:spacing w:before="60" w:after="60"/>
              <w:jc w:val="center"/>
              <w:rPr>
                <w:rFonts w:ascii="Arial" w:hAnsi="Arial" w:cs="Arial"/>
                <w:sz w:val="16"/>
                <w:szCs w:val="16"/>
              </w:rPr>
            </w:pPr>
            <w:r w:rsidRPr="00D779ED">
              <w:rPr>
                <w:rFonts w:ascii="Arial" w:hAnsi="Arial" w:cs="Arial"/>
                <w:sz w:val="16"/>
                <w:szCs w:val="16"/>
              </w:rPr>
              <w:t>media only</w:t>
            </w:r>
          </w:p>
        </w:tc>
        <w:tc>
          <w:tcPr>
            <w:tcW w:w="1276" w:type="dxa"/>
            <w:tcMar>
              <w:left w:w="57" w:type="dxa"/>
              <w:right w:w="57" w:type="dxa"/>
            </w:tcMar>
            <w:vAlign w:val="center"/>
          </w:tcPr>
          <w:p w:rsidR="00EE724B" w:rsidRPr="00D779ED" w:rsidRDefault="00EE724B" w:rsidP="00EE724B">
            <w:pPr>
              <w:spacing w:before="60" w:after="60"/>
              <w:jc w:val="center"/>
              <w:rPr>
                <w:rFonts w:ascii="Arial" w:hAnsi="Arial" w:cs="Arial"/>
                <w:sz w:val="16"/>
                <w:szCs w:val="16"/>
              </w:rPr>
            </w:pPr>
            <w:r w:rsidRPr="00D779ED">
              <w:rPr>
                <w:rFonts w:ascii="Arial" w:hAnsi="Arial" w:cs="Arial"/>
                <w:sz w:val="16"/>
                <w:szCs w:val="16"/>
              </w:rPr>
              <w:t>N/A</w:t>
            </w:r>
          </w:p>
        </w:tc>
        <w:tc>
          <w:tcPr>
            <w:tcW w:w="2551" w:type="dxa"/>
            <w:tcMar>
              <w:left w:w="57" w:type="dxa"/>
              <w:right w:w="57" w:type="dxa"/>
            </w:tcMar>
            <w:vAlign w:val="center"/>
          </w:tcPr>
          <w:p w:rsidR="00EE724B" w:rsidRPr="00D779ED" w:rsidRDefault="00EE724B" w:rsidP="0039372B">
            <w:pPr>
              <w:spacing w:before="60" w:after="60"/>
              <w:jc w:val="center"/>
              <w:rPr>
                <w:rFonts w:ascii="Arial" w:hAnsi="Arial" w:cs="Arial"/>
                <w:sz w:val="16"/>
                <w:szCs w:val="16"/>
              </w:rPr>
            </w:pPr>
            <w:r w:rsidRPr="00D779ED">
              <w:rPr>
                <w:rFonts w:ascii="Arial" w:hAnsi="Arial" w:cs="Arial"/>
                <w:sz w:val="16"/>
                <w:szCs w:val="16"/>
              </w:rPr>
              <w:t>&gt;</w:t>
            </w:r>
            <w:r w:rsidRPr="00D779ED">
              <w:rPr>
                <w:sz w:val="16"/>
                <w:szCs w:val="16"/>
              </w:rPr>
              <w:t> </w:t>
            </w:r>
            <w:r w:rsidRPr="00D779ED">
              <w:rPr>
                <w:rFonts w:ascii="Arial" w:hAnsi="Arial" w:cs="Arial"/>
                <w:sz w:val="16"/>
                <w:szCs w:val="16"/>
              </w:rPr>
              <w:t>70</w:t>
            </w:r>
            <w:r w:rsidRPr="00D779ED">
              <w:rPr>
                <w:sz w:val="16"/>
                <w:szCs w:val="16"/>
              </w:rPr>
              <w:t> </w:t>
            </w:r>
            <w:r w:rsidRPr="00D779ED">
              <w:rPr>
                <w:rFonts w:ascii="Arial" w:hAnsi="Arial" w:cs="Arial"/>
                <w:sz w:val="16"/>
                <w:szCs w:val="16"/>
              </w:rPr>
              <w:t>% inhibition</w:t>
            </w:r>
          </w:p>
        </w:tc>
      </w:tr>
      <w:tr w:rsidR="00EE724B" w:rsidRPr="00D779ED" w:rsidTr="00EE724B">
        <w:tc>
          <w:tcPr>
            <w:tcW w:w="1758" w:type="dxa"/>
            <w:tcMar>
              <w:left w:w="57" w:type="dxa"/>
              <w:right w:w="57" w:type="dxa"/>
            </w:tcMar>
            <w:vAlign w:val="center"/>
          </w:tcPr>
          <w:p w:rsidR="00EE724B" w:rsidRPr="00D779ED" w:rsidRDefault="00EE724B" w:rsidP="00EE724B">
            <w:pPr>
              <w:spacing w:before="60" w:after="60"/>
              <w:jc w:val="center"/>
              <w:rPr>
                <w:rFonts w:ascii="Arial" w:hAnsi="Arial" w:cs="Arial"/>
                <w:b/>
                <w:sz w:val="16"/>
                <w:szCs w:val="16"/>
              </w:rPr>
            </w:pPr>
            <w:r w:rsidRPr="00D779ED">
              <w:rPr>
                <w:rFonts w:ascii="Arial" w:hAnsi="Arial" w:cs="Arial"/>
                <w:b/>
                <w:sz w:val="16"/>
                <w:szCs w:val="16"/>
              </w:rPr>
              <w:t>Novel axenic</w:t>
            </w:r>
          </w:p>
        </w:tc>
        <w:tc>
          <w:tcPr>
            <w:tcW w:w="1701" w:type="dxa"/>
            <w:tcMar>
              <w:left w:w="57" w:type="dxa"/>
              <w:right w:w="57" w:type="dxa"/>
            </w:tcMar>
            <w:vAlign w:val="center"/>
          </w:tcPr>
          <w:p w:rsidR="00EE724B" w:rsidRPr="00D779ED" w:rsidRDefault="00EE724B" w:rsidP="00EE724B">
            <w:pPr>
              <w:spacing w:before="60" w:after="60"/>
              <w:jc w:val="center"/>
              <w:rPr>
                <w:rFonts w:ascii="Arial" w:hAnsi="Arial" w:cs="Arial"/>
                <w:sz w:val="16"/>
                <w:szCs w:val="16"/>
              </w:rPr>
            </w:pPr>
            <w:r w:rsidRPr="00D779ED">
              <w:rPr>
                <w:rFonts w:ascii="Arial" w:hAnsi="Arial" w:cs="Arial"/>
                <w:sz w:val="16"/>
                <w:szCs w:val="16"/>
              </w:rPr>
              <w:t xml:space="preserve">axenic </w:t>
            </w:r>
            <w:proofErr w:type="spellStart"/>
            <w:r w:rsidRPr="00D779ED">
              <w:rPr>
                <w:rFonts w:ascii="Arial" w:hAnsi="Arial" w:cs="Arial"/>
                <w:sz w:val="16"/>
                <w:szCs w:val="16"/>
              </w:rPr>
              <w:t>amastigotes</w:t>
            </w:r>
            <w:proofErr w:type="spellEnd"/>
            <w:r w:rsidR="0039372B">
              <w:rPr>
                <w:rFonts w:ascii="Arial" w:hAnsi="Arial" w:cs="Arial"/>
                <w:sz w:val="16"/>
                <w:szCs w:val="16"/>
              </w:rPr>
              <w:t xml:space="preserve"> at starting density</w:t>
            </w:r>
          </w:p>
        </w:tc>
        <w:tc>
          <w:tcPr>
            <w:tcW w:w="1985" w:type="dxa"/>
            <w:tcMar>
              <w:left w:w="57" w:type="dxa"/>
              <w:right w:w="57" w:type="dxa"/>
            </w:tcMar>
            <w:vAlign w:val="center"/>
          </w:tcPr>
          <w:p w:rsidR="00EE724B" w:rsidRPr="00D779ED" w:rsidRDefault="00EE724B" w:rsidP="00EE724B">
            <w:pPr>
              <w:spacing w:before="60" w:after="60"/>
              <w:jc w:val="center"/>
              <w:rPr>
                <w:rFonts w:ascii="Arial" w:hAnsi="Arial" w:cs="Arial"/>
                <w:sz w:val="16"/>
                <w:szCs w:val="16"/>
              </w:rPr>
            </w:pPr>
            <w:r w:rsidRPr="00D779ED">
              <w:rPr>
                <w:rFonts w:ascii="Arial" w:hAnsi="Arial" w:cs="Arial"/>
                <w:sz w:val="16"/>
                <w:szCs w:val="16"/>
              </w:rPr>
              <w:t>2</w:t>
            </w:r>
            <w:r w:rsidRPr="00D779ED">
              <w:rPr>
                <w:sz w:val="16"/>
                <w:szCs w:val="16"/>
              </w:rPr>
              <w:t> </w:t>
            </w:r>
            <w:r w:rsidRPr="00D779ED">
              <w:rPr>
                <w:rFonts w:ascii="Arial" w:hAnsi="Arial" w:cs="Arial"/>
                <w:sz w:val="16"/>
                <w:szCs w:val="16"/>
              </w:rPr>
              <w:t>µM Amphotericin B</w:t>
            </w:r>
          </w:p>
        </w:tc>
        <w:tc>
          <w:tcPr>
            <w:tcW w:w="1276" w:type="dxa"/>
            <w:tcMar>
              <w:left w:w="57" w:type="dxa"/>
              <w:right w:w="57" w:type="dxa"/>
            </w:tcMar>
            <w:vAlign w:val="center"/>
          </w:tcPr>
          <w:p w:rsidR="00EE724B" w:rsidRPr="00D779ED" w:rsidRDefault="00EE724B" w:rsidP="00EE724B">
            <w:pPr>
              <w:spacing w:before="60" w:after="60"/>
              <w:jc w:val="center"/>
              <w:rPr>
                <w:rFonts w:ascii="Arial" w:hAnsi="Arial" w:cs="Arial"/>
                <w:sz w:val="16"/>
                <w:szCs w:val="16"/>
              </w:rPr>
            </w:pPr>
            <w:r w:rsidRPr="00D779ED">
              <w:rPr>
                <w:rFonts w:ascii="Arial" w:hAnsi="Arial" w:cs="Arial"/>
                <w:sz w:val="16"/>
                <w:szCs w:val="16"/>
              </w:rPr>
              <w:t>N/A</w:t>
            </w:r>
          </w:p>
        </w:tc>
        <w:tc>
          <w:tcPr>
            <w:tcW w:w="2551" w:type="dxa"/>
            <w:tcMar>
              <w:left w:w="57" w:type="dxa"/>
              <w:right w:w="57" w:type="dxa"/>
            </w:tcMar>
            <w:vAlign w:val="center"/>
          </w:tcPr>
          <w:p w:rsidR="00EE724B" w:rsidRPr="00D779ED" w:rsidRDefault="00EE724B" w:rsidP="0039372B">
            <w:pPr>
              <w:spacing w:before="60" w:after="60"/>
              <w:ind w:left="84"/>
              <w:jc w:val="center"/>
              <w:rPr>
                <w:rFonts w:ascii="Arial" w:hAnsi="Arial" w:cs="Arial"/>
                <w:sz w:val="16"/>
                <w:szCs w:val="16"/>
              </w:rPr>
            </w:pPr>
            <w:r w:rsidRPr="00D779ED">
              <w:rPr>
                <w:rFonts w:ascii="Arial" w:hAnsi="Arial" w:cs="Arial"/>
                <w:sz w:val="16"/>
                <w:szCs w:val="16"/>
              </w:rPr>
              <w:t>&gt;</w:t>
            </w:r>
            <w:r w:rsidRPr="00D779ED">
              <w:rPr>
                <w:sz w:val="16"/>
                <w:szCs w:val="16"/>
              </w:rPr>
              <w:t> </w:t>
            </w:r>
            <w:r w:rsidRPr="00D779ED">
              <w:rPr>
                <w:rFonts w:ascii="Arial" w:hAnsi="Arial" w:cs="Arial"/>
                <w:sz w:val="16"/>
                <w:szCs w:val="16"/>
              </w:rPr>
              <w:t>0</w:t>
            </w:r>
            <w:r w:rsidRPr="00D779ED">
              <w:rPr>
                <w:sz w:val="16"/>
                <w:szCs w:val="16"/>
              </w:rPr>
              <w:t> </w:t>
            </w:r>
            <w:r w:rsidRPr="00D779ED">
              <w:rPr>
                <w:rFonts w:ascii="Arial" w:hAnsi="Arial" w:cs="Arial"/>
                <w:sz w:val="16"/>
                <w:szCs w:val="16"/>
              </w:rPr>
              <w:t>% inhibition</w:t>
            </w:r>
          </w:p>
        </w:tc>
      </w:tr>
      <w:tr w:rsidR="00EE724B" w:rsidRPr="00D779ED" w:rsidTr="00EE724B">
        <w:tc>
          <w:tcPr>
            <w:tcW w:w="1758" w:type="dxa"/>
            <w:tcMar>
              <w:left w:w="57" w:type="dxa"/>
              <w:right w:w="57" w:type="dxa"/>
            </w:tcMar>
            <w:vAlign w:val="center"/>
          </w:tcPr>
          <w:p w:rsidR="00EE724B" w:rsidRPr="00D779ED" w:rsidRDefault="00EE724B" w:rsidP="00EE724B">
            <w:pPr>
              <w:spacing w:before="60" w:after="60"/>
              <w:jc w:val="center"/>
              <w:rPr>
                <w:rFonts w:ascii="Arial" w:hAnsi="Arial" w:cs="Arial"/>
                <w:b/>
                <w:sz w:val="16"/>
                <w:szCs w:val="16"/>
              </w:rPr>
            </w:pPr>
            <w:proofErr w:type="spellStart"/>
            <w:r w:rsidRPr="00D779ED">
              <w:rPr>
                <w:rFonts w:ascii="Arial" w:hAnsi="Arial" w:cs="Arial"/>
                <w:b/>
                <w:sz w:val="16"/>
                <w:szCs w:val="16"/>
              </w:rPr>
              <w:t>Intramacrophage</w:t>
            </w:r>
            <w:proofErr w:type="spellEnd"/>
          </w:p>
        </w:tc>
        <w:tc>
          <w:tcPr>
            <w:tcW w:w="1701" w:type="dxa"/>
            <w:tcMar>
              <w:left w:w="57" w:type="dxa"/>
              <w:right w:w="57" w:type="dxa"/>
            </w:tcMar>
            <w:vAlign w:val="center"/>
          </w:tcPr>
          <w:p w:rsidR="00EE724B" w:rsidRPr="00D779ED" w:rsidRDefault="00EE724B" w:rsidP="00EE724B">
            <w:pPr>
              <w:spacing w:before="60" w:after="60"/>
              <w:jc w:val="center"/>
              <w:rPr>
                <w:rFonts w:ascii="Arial" w:hAnsi="Arial" w:cs="Arial"/>
                <w:sz w:val="16"/>
                <w:szCs w:val="16"/>
              </w:rPr>
            </w:pPr>
            <w:r w:rsidRPr="00D779ED">
              <w:rPr>
                <w:rFonts w:ascii="Arial" w:hAnsi="Arial" w:cs="Arial"/>
                <w:sz w:val="16"/>
                <w:szCs w:val="16"/>
              </w:rPr>
              <w:t>DMSO</w:t>
            </w:r>
          </w:p>
        </w:tc>
        <w:tc>
          <w:tcPr>
            <w:tcW w:w="1985" w:type="dxa"/>
            <w:tcMar>
              <w:left w:w="57" w:type="dxa"/>
              <w:right w:w="57" w:type="dxa"/>
            </w:tcMar>
            <w:vAlign w:val="center"/>
          </w:tcPr>
          <w:p w:rsidR="00EE724B" w:rsidRPr="00D779ED" w:rsidRDefault="00EE724B" w:rsidP="00EE724B">
            <w:pPr>
              <w:spacing w:before="60" w:after="60"/>
              <w:jc w:val="center"/>
              <w:rPr>
                <w:rFonts w:ascii="Arial" w:hAnsi="Arial" w:cs="Arial"/>
                <w:sz w:val="16"/>
                <w:szCs w:val="16"/>
              </w:rPr>
            </w:pPr>
            <w:r w:rsidRPr="00D779ED">
              <w:rPr>
                <w:rFonts w:ascii="Arial" w:hAnsi="Arial" w:cs="Arial"/>
                <w:sz w:val="16"/>
                <w:szCs w:val="16"/>
              </w:rPr>
              <w:t>2</w:t>
            </w:r>
            <w:r w:rsidRPr="00D779ED">
              <w:rPr>
                <w:sz w:val="16"/>
                <w:szCs w:val="16"/>
              </w:rPr>
              <w:t> </w:t>
            </w:r>
            <w:r w:rsidRPr="00D779ED">
              <w:rPr>
                <w:rFonts w:ascii="Arial" w:hAnsi="Arial" w:cs="Arial"/>
                <w:sz w:val="16"/>
                <w:szCs w:val="16"/>
              </w:rPr>
              <w:t>µM Amphotericin B</w:t>
            </w:r>
          </w:p>
        </w:tc>
        <w:tc>
          <w:tcPr>
            <w:tcW w:w="1276" w:type="dxa"/>
            <w:tcMar>
              <w:left w:w="57" w:type="dxa"/>
              <w:right w:w="57" w:type="dxa"/>
            </w:tcMar>
            <w:vAlign w:val="center"/>
          </w:tcPr>
          <w:p w:rsidR="00EE724B" w:rsidRPr="00D779ED" w:rsidRDefault="00EE724B" w:rsidP="00EE724B">
            <w:pPr>
              <w:spacing w:before="60" w:after="60"/>
              <w:jc w:val="center"/>
              <w:rPr>
                <w:rFonts w:ascii="Arial" w:hAnsi="Arial" w:cs="Arial"/>
                <w:sz w:val="16"/>
                <w:szCs w:val="16"/>
              </w:rPr>
            </w:pPr>
            <w:r>
              <w:rPr>
                <w:rFonts w:ascii="Arial" w:hAnsi="Arial" w:cs="Arial"/>
                <w:sz w:val="16"/>
                <w:szCs w:val="16"/>
              </w:rPr>
              <w:t>Infected THP-1 cells /</w:t>
            </w:r>
            <w:r w:rsidRPr="00D779ED">
              <w:rPr>
                <w:rFonts w:ascii="Arial" w:hAnsi="Arial" w:cs="Arial"/>
                <w:sz w:val="16"/>
                <w:szCs w:val="16"/>
              </w:rPr>
              <w:t xml:space="preserve"> DMSO</w:t>
            </w:r>
          </w:p>
        </w:tc>
        <w:tc>
          <w:tcPr>
            <w:tcW w:w="2551" w:type="dxa"/>
            <w:tcMar>
              <w:left w:w="57" w:type="dxa"/>
              <w:right w:w="57" w:type="dxa"/>
            </w:tcMar>
            <w:vAlign w:val="center"/>
          </w:tcPr>
          <w:p w:rsidR="00EE724B" w:rsidRPr="00D779ED" w:rsidRDefault="00EE724B" w:rsidP="00EE724B">
            <w:pPr>
              <w:spacing w:before="60" w:after="60"/>
              <w:jc w:val="center"/>
              <w:rPr>
                <w:rFonts w:ascii="Arial" w:hAnsi="Arial" w:cs="Arial"/>
                <w:sz w:val="16"/>
                <w:szCs w:val="16"/>
              </w:rPr>
            </w:pPr>
            <w:r w:rsidRPr="00D779ED">
              <w:rPr>
                <w:rFonts w:ascii="Arial" w:hAnsi="Arial" w:cs="Arial"/>
                <w:sz w:val="16"/>
                <w:szCs w:val="16"/>
              </w:rPr>
              <w:t>&gt;</w:t>
            </w:r>
            <w:r w:rsidRPr="00D779ED">
              <w:rPr>
                <w:sz w:val="16"/>
                <w:szCs w:val="16"/>
              </w:rPr>
              <w:t> </w:t>
            </w:r>
            <w:r w:rsidRPr="00D779ED">
              <w:rPr>
                <w:rFonts w:ascii="Arial" w:hAnsi="Arial" w:cs="Arial"/>
                <w:sz w:val="16"/>
                <w:szCs w:val="16"/>
              </w:rPr>
              <w:t>70</w:t>
            </w:r>
            <w:r w:rsidRPr="00D779ED">
              <w:rPr>
                <w:sz w:val="16"/>
                <w:szCs w:val="16"/>
              </w:rPr>
              <w:t> </w:t>
            </w:r>
            <w:r w:rsidRPr="00D779ED">
              <w:rPr>
                <w:rFonts w:ascii="Arial" w:hAnsi="Arial" w:cs="Arial"/>
                <w:sz w:val="16"/>
                <w:szCs w:val="16"/>
              </w:rPr>
              <w:t xml:space="preserve">% inhibition of intracellular </w:t>
            </w:r>
            <w:proofErr w:type="spellStart"/>
            <w:r w:rsidRPr="00D779ED">
              <w:rPr>
                <w:rFonts w:ascii="Arial" w:hAnsi="Arial" w:cs="Arial"/>
                <w:sz w:val="16"/>
                <w:szCs w:val="16"/>
              </w:rPr>
              <w:t>amastigote</w:t>
            </w:r>
            <w:r w:rsidR="0039372B">
              <w:rPr>
                <w:rFonts w:ascii="Arial" w:hAnsi="Arial" w:cs="Arial"/>
                <w:sz w:val="16"/>
                <w:szCs w:val="16"/>
              </w:rPr>
              <w:t>s</w:t>
            </w:r>
            <w:proofErr w:type="spellEnd"/>
            <w:r w:rsidRPr="00D779ED">
              <w:rPr>
                <w:rFonts w:ascii="Arial" w:hAnsi="Arial" w:cs="Arial"/>
                <w:sz w:val="16"/>
                <w:szCs w:val="16"/>
              </w:rPr>
              <w:t xml:space="preserve"> </w:t>
            </w:r>
          </w:p>
          <w:p w:rsidR="00EE724B" w:rsidRPr="00D779ED" w:rsidRDefault="00EE724B" w:rsidP="0039372B">
            <w:pPr>
              <w:spacing w:before="60" w:after="60"/>
              <w:jc w:val="center"/>
              <w:rPr>
                <w:rFonts w:ascii="Arial" w:hAnsi="Arial" w:cs="Arial"/>
                <w:sz w:val="16"/>
                <w:szCs w:val="16"/>
              </w:rPr>
            </w:pPr>
          </w:p>
        </w:tc>
      </w:tr>
    </w:tbl>
    <w:p w:rsidR="003C556C" w:rsidRDefault="003C556C" w:rsidP="00217FCC">
      <w:pPr>
        <w:spacing w:line="480" w:lineRule="auto"/>
        <w:jc w:val="both"/>
        <w:rPr>
          <w:rFonts w:ascii="Arial" w:hAnsi="Arial" w:cs="Arial"/>
        </w:rPr>
      </w:pPr>
    </w:p>
    <w:p w:rsidR="0053140D" w:rsidRDefault="001D3D60">
      <w:pPr>
        <w:rPr>
          <w:rFonts w:ascii="Arial" w:hAnsi="Arial" w:cs="Arial"/>
          <w:sz w:val="16"/>
          <w:szCs w:val="16"/>
        </w:rPr>
      </w:pPr>
      <w:r w:rsidRPr="00D779ED">
        <w:rPr>
          <w:rFonts w:ascii="Arial" w:hAnsi="Arial" w:cs="Arial"/>
          <w:b/>
          <w:sz w:val="16"/>
          <w:szCs w:val="16"/>
        </w:rPr>
        <w:t>Table</w:t>
      </w:r>
      <w:r w:rsidR="0021653B">
        <w:rPr>
          <w:rFonts w:ascii="Arial" w:hAnsi="Arial" w:cs="Arial"/>
          <w:b/>
          <w:sz w:val="16"/>
          <w:szCs w:val="16"/>
        </w:rPr>
        <w:t xml:space="preserve"> B</w:t>
      </w:r>
      <w:r w:rsidRPr="00D779ED">
        <w:rPr>
          <w:rFonts w:ascii="Arial" w:hAnsi="Arial" w:cs="Arial"/>
          <w:b/>
          <w:sz w:val="16"/>
          <w:szCs w:val="16"/>
        </w:rPr>
        <w:t>. Potencies for reference compound panel.</w:t>
      </w:r>
    </w:p>
    <w:tbl>
      <w:tblPr>
        <w:tblW w:w="0" w:type="auto"/>
        <w:jc w:val="center"/>
        <w:tblCellMar>
          <w:left w:w="0" w:type="dxa"/>
          <w:right w:w="0" w:type="dxa"/>
        </w:tblCellMar>
        <w:tblLook w:val="04A0" w:firstRow="1" w:lastRow="0" w:firstColumn="1" w:lastColumn="0" w:noHBand="0" w:noVBand="1"/>
      </w:tblPr>
      <w:tblGrid>
        <w:gridCol w:w="1489"/>
        <w:gridCol w:w="1569"/>
        <w:gridCol w:w="804"/>
        <w:gridCol w:w="1329"/>
        <w:gridCol w:w="804"/>
        <w:gridCol w:w="804"/>
      </w:tblGrid>
      <w:tr w:rsidR="001D3D60" w:rsidTr="001D3D60">
        <w:trPr>
          <w:trHeight w:val="227"/>
          <w:jc w:val="center"/>
        </w:trPr>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b/>
                <w:bCs/>
                <w:sz w:val="16"/>
                <w:szCs w:val="16"/>
              </w:rPr>
            </w:pPr>
            <w:bookmarkStart w:id="1" w:name="_Toc404090764"/>
            <w:r>
              <w:rPr>
                <w:rFonts w:ascii="Arial" w:hAnsi="Arial" w:cs="Arial"/>
                <w:b/>
                <w:bCs/>
                <w:sz w:val="16"/>
                <w:szCs w:val="16"/>
              </w:rPr>
              <w:t>Compound Name</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2557CC" w:rsidP="001D3D60">
            <w:pPr>
              <w:spacing w:after="0" w:line="240" w:lineRule="auto"/>
              <w:rPr>
                <w:rFonts w:ascii="Arial" w:hAnsi="Arial" w:cs="Arial"/>
                <w:b/>
                <w:bCs/>
                <w:sz w:val="16"/>
                <w:szCs w:val="16"/>
              </w:rPr>
            </w:pPr>
            <w:r>
              <w:rPr>
                <w:rFonts w:ascii="Arial" w:hAnsi="Arial" w:cs="Arial"/>
                <w:b/>
                <w:bCs/>
                <w:sz w:val="16"/>
                <w:szCs w:val="16"/>
              </w:rPr>
              <w:t>C</w:t>
            </w:r>
            <w:r w:rsidR="001D3D60">
              <w:rPr>
                <w:rFonts w:ascii="Arial" w:hAnsi="Arial" w:cs="Arial"/>
                <w:b/>
                <w:bCs/>
                <w:sz w:val="16"/>
                <w:szCs w:val="16"/>
              </w:rPr>
              <w:t>lass</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b/>
                <w:bCs/>
                <w:sz w:val="16"/>
                <w:szCs w:val="16"/>
              </w:rPr>
            </w:pPr>
            <w:r>
              <w:rPr>
                <w:rFonts w:ascii="Arial" w:hAnsi="Arial" w:cs="Arial"/>
                <w:b/>
                <w:bCs/>
                <w:sz w:val="16"/>
                <w:szCs w:val="16"/>
              </w:rPr>
              <w:t>Novel</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b/>
                <w:bCs/>
                <w:sz w:val="16"/>
                <w:szCs w:val="16"/>
              </w:rPr>
            </w:pPr>
            <w:proofErr w:type="spellStart"/>
            <w:r>
              <w:rPr>
                <w:rFonts w:ascii="Arial" w:hAnsi="Arial" w:cs="Arial"/>
                <w:b/>
                <w:bCs/>
                <w:sz w:val="16"/>
                <w:szCs w:val="16"/>
              </w:rPr>
              <w:t>Intramacrophage</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b/>
                <w:bCs/>
                <w:sz w:val="16"/>
                <w:szCs w:val="16"/>
              </w:rPr>
            </w:pPr>
            <w:r>
              <w:rPr>
                <w:rFonts w:ascii="Arial" w:hAnsi="Arial" w:cs="Arial"/>
                <w:b/>
                <w:bCs/>
                <w:sz w:val="16"/>
                <w:szCs w:val="16"/>
              </w:rPr>
              <w:t>THP-1</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b/>
                <w:bCs/>
                <w:sz w:val="16"/>
                <w:szCs w:val="16"/>
              </w:rPr>
            </w:pPr>
            <w:r>
              <w:rPr>
                <w:rFonts w:ascii="Arial" w:hAnsi="Arial" w:cs="Arial"/>
                <w:b/>
                <w:bCs/>
                <w:sz w:val="16"/>
                <w:szCs w:val="16"/>
              </w:rPr>
              <w:t>HepG2</w:t>
            </w:r>
          </w:p>
        </w:tc>
      </w:tr>
      <w:tr w:rsidR="001D3D60" w:rsidTr="001D3D60">
        <w:trPr>
          <w:trHeight w:val="227"/>
          <w:jc w:val="center"/>
        </w:trPr>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Imiquimod</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imidazoquinolinamine</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4.3</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4.46</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4.46</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4.3</w:t>
            </w:r>
          </w:p>
        </w:tc>
      </w:tr>
      <w:tr w:rsidR="001D3D60" w:rsidTr="001D3D60">
        <w:trPr>
          <w:trHeight w:val="227"/>
          <w:jc w:val="center"/>
        </w:trPr>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r>
              <w:rPr>
                <w:rFonts w:ascii="Arial" w:hAnsi="Arial" w:cs="Arial"/>
                <w:sz w:val="16"/>
                <w:szCs w:val="16"/>
              </w:rPr>
              <w:t>VL-0614</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ind w:right="-582"/>
              <w:rPr>
                <w:rFonts w:ascii="Arial" w:hAnsi="Arial" w:cs="Arial"/>
                <w:sz w:val="16"/>
                <w:szCs w:val="16"/>
              </w:rPr>
            </w:pPr>
            <w:proofErr w:type="spellStart"/>
            <w:r>
              <w:rPr>
                <w:rFonts w:ascii="Arial" w:hAnsi="Arial" w:cs="Arial"/>
                <w:sz w:val="16"/>
                <w:szCs w:val="16"/>
              </w:rPr>
              <w:t>aminothiazoles</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5.87 (0.25)</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5.2 (0.25)</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4.46 (0.01)</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N/A</w:t>
            </w:r>
          </w:p>
        </w:tc>
      </w:tr>
      <w:tr w:rsidR="001D3D60" w:rsidTr="001D3D60">
        <w:trPr>
          <w:trHeight w:val="227"/>
          <w:jc w:val="center"/>
        </w:trPr>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r>
              <w:rPr>
                <w:rFonts w:ascii="Arial" w:hAnsi="Arial" w:cs="Arial"/>
                <w:sz w:val="16"/>
                <w:szCs w:val="16"/>
              </w:rPr>
              <w:t>VL-0672</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aminothiazoles</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5.96 (0.16)</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5.42 (0.22)</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4.67 (0.47)</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N/A</w:t>
            </w:r>
          </w:p>
        </w:tc>
      </w:tr>
      <w:tr w:rsidR="001D3D60" w:rsidTr="001D3D60">
        <w:trPr>
          <w:trHeight w:val="227"/>
          <w:jc w:val="center"/>
        </w:trPr>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r>
              <w:rPr>
                <w:rFonts w:ascii="Arial" w:hAnsi="Arial" w:cs="Arial"/>
                <w:sz w:val="16"/>
                <w:szCs w:val="16"/>
              </w:rPr>
              <w:t>VL-2098</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nitroimidazoles</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7.75 (0.5)</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5.78 (0.07)</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4.46</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N/A</w:t>
            </w:r>
          </w:p>
        </w:tc>
      </w:tr>
      <w:tr w:rsidR="001D3D60" w:rsidTr="001D3D60">
        <w:trPr>
          <w:trHeight w:val="227"/>
          <w:jc w:val="center"/>
        </w:trPr>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r>
              <w:rPr>
                <w:rFonts w:ascii="Arial" w:hAnsi="Arial" w:cs="Arial"/>
                <w:sz w:val="16"/>
                <w:szCs w:val="16"/>
              </w:rPr>
              <w:t>VL-0505</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aminothiazoles</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6.15 (0.12)</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5.86 (0.05)</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4.52 (0.1)</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N/A</w:t>
            </w:r>
          </w:p>
        </w:tc>
      </w:tr>
      <w:tr w:rsidR="001D3D60" w:rsidTr="001D3D60">
        <w:trPr>
          <w:trHeight w:val="227"/>
          <w:jc w:val="center"/>
        </w:trPr>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r>
              <w:rPr>
                <w:rFonts w:ascii="Arial" w:hAnsi="Arial" w:cs="Arial"/>
                <w:sz w:val="16"/>
                <w:szCs w:val="16"/>
              </w:rPr>
              <w:t>35501</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nitroimidazoles</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6.6 (0.11)</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5.75 (0.06)</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4.5 (0.1)</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N/A</w:t>
            </w:r>
          </w:p>
        </w:tc>
      </w:tr>
      <w:tr w:rsidR="001D3D60" w:rsidTr="001D3D60">
        <w:trPr>
          <w:trHeight w:val="227"/>
          <w:jc w:val="center"/>
        </w:trPr>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r>
              <w:rPr>
                <w:rFonts w:ascii="Arial" w:hAnsi="Arial" w:cs="Arial"/>
                <w:sz w:val="16"/>
                <w:szCs w:val="16"/>
              </w:rPr>
              <w:t>35711</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nitroimidazoles</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6.24 (0.19)</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5.68 (0.14)</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4.46</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N/A</w:t>
            </w:r>
          </w:p>
        </w:tc>
      </w:tr>
      <w:tr w:rsidR="001D3D60" w:rsidTr="001D3D60">
        <w:trPr>
          <w:trHeight w:val="227"/>
          <w:jc w:val="center"/>
        </w:trPr>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r>
              <w:rPr>
                <w:rFonts w:ascii="Arial" w:hAnsi="Arial" w:cs="Arial"/>
                <w:sz w:val="16"/>
                <w:szCs w:val="16"/>
              </w:rPr>
              <w:t>35781</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nitroimidazoles</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6.24 (0.24)</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5.65 (0.16)</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4.46</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N/A</w:t>
            </w:r>
          </w:p>
        </w:tc>
      </w:tr>
      <w:tr w:rsidR="001D3D60" w:rsidTr="001D3D60">
        <w:trPr>
          <w:trHeight w:val="227"/>
          <w:jc w:val="center"/>
        </w:trPr>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r>
              <w:rPr>
                <w:rFonts w:ascii="Arial" w:hAnsi="Arial" w:cs="Arial"/>
                <w:sz w:val="16"/>
                <w:szCs w:val="16"/>
              </w:rPr>
              <w:t>AN10398</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oxaboroles</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6.02 (0.16)</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5.45 (0.33)</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4.46</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N/A</w:t>
            </w:r>
          </w:p>
        </w:tc>
      </w:tr>
      <w:tr w:rsidR="001D3D60" w:rsidTr="001D3D60">
        <w:trPr>
          <w:trHeight w:val="227"/>
          <w:jc w:val="center"/>
        </w:trPr>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r>
              <w:rPr>
                <w:rFonts w:ascii="Arial" w:hAnsi="Arial" w:cs="Arial"/>
                <w:sz w:val="16"/>
                <w:szCs w:val="16"/>
              </w:rPr>
              <w:t>AN9958</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oxaboroles</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5.8 (0.05)</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5.63 (0.19)</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4.98 (0.72)</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N/A</w:t>
            </w:r>
          </w:p>
        </w:tc>
      </w:tr>
      <w:tr w:rsidR="001D3D60" w:rsidTr="001D3D60">
        <w:trPr>
          <w:trHeight w:val="227"/>
          <w:jc w:val="center"/>
        </w:trPr>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r>
              <w:rPr>
                <w:rFonts w:ascii="Arial" w:hAnsi="Arial" w:cs="Arial"/>
                <w:sz w:val="16"/>
                <w:szCs w:val="16"/>
              </w:rPr>
              <w:t>AN10199</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oxaboroles</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5.92 (0.15)</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5.38 (0.13)</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4.47 (0.04)</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N/A</w:t>
            </w:r>
          </w:p>
        </w:tc>
      </w:tr>
      <w:tr w:rsidR="001D3D60" w:rsidTr="001D3D60">
        <w:trPr>
          <w:trHeight w:val="227"/>
          <w:jc w:val="center"/>
        </w:trPr>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r>
              <w:rPr>
                <w:rFonts w:ascii="Arial" w:hAnsi="Arial" w:cs="Arial"/>
                <w:sz w:val="16"/>
                <w:szCs w:val="16"/>
              </w:rPr>
              <w:t>Docetaxel</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taxols</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5.05 (0.35)</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4.84 (0.43)</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4.46</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N/A</w:t>
            </w:r>
          </w:p>
        </w:tc>
      </w:tr>
      <w:tr w:rsidR="001D3D60" w:rsidTr="001D3D60">
        <w:trPr>
          <w:trHeight w:val="227"/>
          <w:jc w:val="center"/>
        </w:trPr>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Miltefosine</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alkylphospholipids</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4.5 (0.36)</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6.1 (0.24)</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4.46</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4.3</w:t>
            </w:r>
          </w:p>
        </w:tc>
      </w:tr>
      <w:tr w:rsidR="001D3D60" w:rsidTr="001D3D60">
        <w:trPr>
          <w:trHeight w:val="227"/>
          <w:jc w:val="center"/>
        </w:trPr>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Fexinidazole</w:t>
            </w:r>
            <w:proofErr w:type="spellEnd"/>
            <w:r>
              <w:rPr>
                <w:rFonts w:ascii="Arial" w:hAnsi="Arial" w:cs="Arial"/>
                <w:sz w:val="16"/>
                <w:szCs w:val="16"/>
              </w:rPr>
              <w:t xml:space="preserve"> sulfone</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nitroimidazoles</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5.11 (0.18)</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4.49 (0.08)</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4.46</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4.3</w:t>
            </w:r>
          </w:p>
        </w:tc>
      </w:tr>
      <w:tr w:rsidR="001D3D60" w:rsidTr="001D3D60">
        <w:trPr>
          <w:trHeight w:val="227"/>
          <w:jc w:val="center"/>
        </w:trPr>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r>
              <w:rPr>
                <w:rFonts w:ascii="Arial" w:hAnsi="Arial" w:cs="Arial"/>
                <w:sz w:val="16"/>
                <w:szCs w:val="16"/>
              </w:rPr>
              <w:t>Amphotericin B</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r>
              <w:rPr>
                <w:rFonts w:ascii="Arial" w:hAnsi="Arial" w:cs="Arial"/>
                <w:sz w:val="16"/>
                <w:szCs w:val="16"/>
              </w:rPr>
              <w:t>polyenes</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6.52 (0.19)</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6.62 (0.2)</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4.57 (0.28)</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4.3</w:t>
            </w:r>
          </w:p>
        </w:tc>
      </w:tr>
      <w:tr w:rsidR="001D3D60" w:rsidTr="001D3D60">
        <w:trPr>
          <w:trHeight w:val="227"/>
          <w:jc w:val="center"/>
        </w:trPr>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r>
              <w:rPr>
                <w:rFonts w:ascii="Arial" w:hAnsi="Arial" w:cs="Arial"/>
                <w:sz w:val="16"/>
                <w:szCs w:val="16"/>
              </w:rPr>
              <w:t>Pyrazinamide</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carboxamides</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4.3</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4.46</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4.46</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4.3</w:t>
            </w:r>
          </w:p>
        </w:tc>
      </w:tr>
      <w:tr w:rsidR="001D3D60" w:rsidTr="001D3D60">
        <w:trPr>
          <w:trHeight w:val="227"/>
          <w:jc w:val="center"/>
        </w:trPr>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r>
              <w:rPr>
                <w:rFonts w:ascii="Arial" w:hAnsi="Arial" w:cs="Arial"/>
                <w:sz w:val="16"/>
                <w:szCs w:val="16"/>
              </w:rPr>
              <w:t>Nystatin</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r>
              <w:rPr>
                <w:rFonts w:ascii="Arial" w:hAnsi="Arial" w:cs="Arial"/>
                <w:sz w:val="16"/>
                <w:szCs w:val="16"/>
              </w:rPr>
              <w:t>polyenes</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5.19 (0.21)</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4.68 (0.5)</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4.46</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4.3</w:t>
            </w:r>
          </w:p>
        </w:tc>
      </w:tr>
      <w:tr w:rsidR="001D3D60" w:rsidTr="001D3D60">
        <w:trPr>
          <w:trHeight w:val="227"/>
          <w:jc w:val="center"/>
        </w:trPr>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Posaconazole</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r>
              <w:rPr>
                <w:rFonts w:ascii="Arial" w:hAnsi="Arial" w:cs="Arial"/>
                <w:sz w:val="16"/>
                <w:szCs w:val="16"/>
              </w:rPr>
              <w:t>azoles</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4.44 (0.25)</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4.73 (0.42)</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4.75 (0.46)</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5.07 (0.17)</w:t>
            </w:r>
          </w:p>
        </w:tc>
      </w:tr>
      <w:tr w:rsidR="001D3D60" w:rsidTr="001D3D60">
        <w:trPr>
          <w:trHeight w:val="227"/>
          <w:jc w:val="center"/>
        </w:trPr>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Paromomycin</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r>
              <w:rPr>
                <w:rFonts w:ascii="Arial" w:hAnsi="Arial" w:cs="Arial"/>
                <w:sz w:val="16"/>
                <w:szCs w:val="16"/>
              </w:rPr>
              <w:t>aminoglycosides</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4.3</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4.46</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4.46</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4.3</w:t>
            </w:r>
          </w:p>
        </w:tc>
      </w:tr>
      <w:tr w:rsidR="001D3D60" w:rsidTr="001D3D60">
        <w:trPr>
          <w:trHeight w:val="227"/>
          <w:jc w:val="center"/>
        </w:trPr>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Clemastine</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ethanolamines</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4.3</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4.8 (0.2)</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4.75 (0.12)</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4.66 (0.01)</w:t>
            </w:r>
          </w:p>
        </w:tc>
      </w:tr>
      <w:tr w:rsidR="001D3D60" w:rsidTr="001D3D60">
        <w:trPr>
          <w:trHeight w:val="227"/>
          <w:jc w:val="center"/>
        </w:trPr>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r>
              <w:rPr>
                <w:rFonts w:ascii="Arial" w:hAnsi="Arial" w:cs="Arial"/>
                <w:sz w:val="16"/>
                <w:szCs w:val="16"/>
              </w:rPr>
              <w:t>Disulfiram</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disulfurs</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6.44 (0.11)</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4.46</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4.46</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4.34 (0.03)</w:t>
            </w:r>
          </w:p>
        </w:tc>
      </w:tr>
      <w:tr w:rsidR="001D3D60" w:rsidTr="001D3D60">
        <w:trPr>
          <w:trHeight w:val="227"/>
          <w:jc w:val="center"/>
        </w:trPr>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Nifurtimox</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nitrofurans</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4.95 (0.19)</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4.46</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4.46</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4.3</w:t>
            </w:r>
          </w:p>
        </w:tc>
      </w:tr>
      <w:tr w:rsidR="001D3D60" w:rsidTr="001D3D60">
        <w:trPr>
          <w:trHeight w:val="227"/>
          <w:jc w:val="center"/>
        </w:trPr>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Cantharidin</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cantharidins</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5.36 (0.17)</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4.88 (0.47)</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5.56 (0.08)</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5.87 (0.07)</w:t>
            </w:r>
          </w:p>
        </w:tc>
      </w:tr>
      <w:tr w:rsidR="001D3D60" w:rsidTr="001D3D60">
        <w:trPr>
          <w:trHeight w:val="227"/>
          <w:jc w:val="center"/>
        </w:trPr>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Suramin</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suramins</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4.3</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4.46</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4.46</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4.3</w:t>
            </w:r>
          </w:p>
        </w:tc>
      </w:tr>
      <w:tr w:rsidR="001D3D60" w:rsidTr="001D3D60">
        <w:trPr>
          <w:trHeight w:val="227"/>
          <w:jc w:val="center"/>
        </w:trPr>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Fenarimol</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fenarimols</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4.3</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4.46</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4.46</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4.3</w:t>
            </w:r>
          </w:p>
        </w:tc>
      </w:tr>
      <w:tr w:rsidR="001D3D60" w:rsidTr="001D3D60">
        <w:trPr>
          <w:trHeight w:val="227"/>
          <w:jc w:val="center"/>
        </w:trPr>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Pentamidine</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diamidines</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5.06 (0.23)</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4.81 (0.22)</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4.46</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5.55 (0.23)</w:t>
            </w:r>
          </w:p>
        </w:tc>
      </w:tr>
      <w:tr w:rsidR="001D3D60" w:rsidTr="001D3D60">
        <w:trPr>
          <w:trHeight w:val="227"/>
          <w:jc w:val="center"/>
        </w:trPr>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Menadione</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r>
              <w:rPr>
                <w:rFonts w:ascii="Arial" w:hAnsi="Arial" w:cs="Arial"/>
                <w:sz w:val="16"/>
                <w:szCs w:val="16"/>
              </w:rPr>
              <w:t>naphthoquinones</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4.99 (0.25)</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4.46</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4.48 (0.05)</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5.46 (0)</w:t>
            </w:r>
          </w:p>
        </w:tc>
      </w:tr>
      <w:tr w:rsidR="001D3D60" w:rsidTr="001D3D60">
        <w:trPr>
          <w:trHeight w:val="227"/>
          <w:jc w:val="center"/>
        </w:trPr>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Luteolin</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r>
              <w:rPr>
                <w:rFonts w:ascii="Arial" w:hAnsi="Arial" w:cs="Arial"/>
                <w:sz w:val="16"/>
                <w:szCs w:val="16"/>
              </w:rPr>
              <w:t>flavonoids</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4.33 (0.05)</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4.55 (0.09)</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4.84 (0.12)</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4.61 (0.24)</w:t>
            </w:r>
          </w:p>
        </w:tc>
      </w:tr>
      <w:tr w:rsidR="001D3D60" w:rsidTr="001D3D60">
        <w:trPr>
          <w:trHeight w:val="227"/>
          <w:jc w:val="center"/>
        </w:trPr>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Berberine</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r>
              <w:rPr>
                <w:rFonts w:ascii="Arial" w:hAnsi="Arial" w:cs="Arial"/>
                <w:sz w:val="16"/>
                <w:szCs w:val="16"/>
              </w:rPr>
              <w:t>alkaloids</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5.03 (0.17)</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4.79 (0.17)</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4.46</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4.47 (0.12)</w:t>
            </w:r>
          </w:p>
        </w:tc>
      </w:tr>
      <w:tr w:rsidR="001D3D60" w:rsidTr="001D3D60">
        <w:trPr>
          <w:trHeight w:val="227"/>
          <w:jc w:val="center"/>
        </w:trPr>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Indinavir</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piperazines</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4.3</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4.46</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4.46</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4.3</w:t>
            </w:r>
          </w:p>
        </w:tc>
      </w:tr>
      <w:tr w:rsidR="001D3D60" w:rsidTr="001D3D60">
        <w:trPr>
          <w:trHeight w:val="227"/>
          <w:jc w:val="center"/>
        </w:trPr>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Amodiaquine</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r>
              <w:rPr>
                <w:rFonts w:ascii="Arial" w:hAnsi="Arial" w:cs="Arial"/>
                <w:sz w:val="16"/>
                <w:szCs w:val="16"/>
              </w:rPr>
              <w:t>4-aminoquinolines</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4.3</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5.39 (0.09)</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4.53 (0.05)</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4.59 (0.12)</w:t>
            </w:r>
          </w:p>
        </w:tc>
      </w:tr>
      <w:tr w:rsidR="001D3D60" w:rsidTr="001D3D60">
        <w:trPr>
          <w:trHeight w:val="227"/>
          <w:jc w:val="center"/>
        </w:trPr>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Mefloquine</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r>
              <w:rPr>
                <w:rFonts w:ascii="Arial" w:hAnsi="Arial" w:cs="Arial"/>
                <w:sz w:val="16"/>
                <w:szCs w:val="16"/>
              </w:rPr>
              <w:t>4-aminoquinolines</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4.3</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5.07 (0.43)</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4.92 (0.44)</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5.01 (0.12)</w:t>
            </w:r>
          </w:p>
        </w:tc>
      </w:tr>
      <w:tr w:rsidR="001D3D60" w:rsidTr="001D3D60">
        <w:trPr>
          <w:trHeight w:val="227"/>
          <w:jc w:val="center"/>
        </w:trPr>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Alendronic</w:t>
            </w:r>
            <w:proofErr w:type="spellEnd"/>
            <w:r>
              <w:rPr>
                <w:rFonts w:ascii="Arial" w:hAnsi="Arial" w:cs="Arial"/>
                <w:sz w:val="16"/>
                <w:szCs w:val="16"/>
              </w:rPr>
              <w:t xml:space="preserve"> acid</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biphosphonates</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4.3</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4.46</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4.46</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4.3</w:t>
            </w:r>
          </w:p>
        </w:tc>
      </w:tr>
      <w:tr w:rsidR="001D3D60" w:rsidTr="001D3D60">
        <w:trPr>
          <w:trHeight w:val="227"/>
          <w:jc w:val="center"/>
        </w:trPr>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Licochalcone</w:t>
            </w:r>
            <w:proofErr w:type="spellEnd"/>
            <w:r>
              <w:rPr>
                <w:rFonts w:ascii="Arial" w:hAnsi="Arial" w:cs="Arial"/>
                <w:sz w:val="16"/>
                <w:szCs w:val="16"/>
              </w:rPr>
              <w:t xml:space="preserve"> A</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chalcones</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4.67 (0.15)</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4.65 (0.17)</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4.46 (0.01)</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4.44 (0.09)</w:t>
            </w:r>
          </w:p>
        </w:tc>
      </w:tr>
      <w:tr w:rsidR="001D3D60" w:rsidTr="001D3D60">
        <w:trPr>
          <w:trHeight w:val="227"/>
          <w:jc w:val="center"/>
        </w:trPr>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Diminazene</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diamidines</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4.93 (0.24)</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4.46</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4.46</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4.3</w:t>
            </w:r>
          </w:p>
        </w:tc>
      </w:tr>
      <w:tr w:rsidR="001D3D60" w:rsidTr="001D3D60">
        <w:trPr>
          <w:trHeight w:val="227"/>
          <w:jc w:val="center"/>
        </w:trPr>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Fexinidazole</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rPr>
                <w:rFonts w:ascii="Arial" w:hAnsi="Arial" w:cs="Arial"/>
                <w:sz w:val="16"/>
                <w:szCs w:val="16"/>
              </w:rPr>
            </w:pPr>
            <w:proofErr w:type="spellStart"/>
            <w:r>
              <w:rPr>
                <w:rFonts w:ascii="Arial" w:hAnsi="Arial" w:cs="Arial"/>
                <w:sz w:val="16"/>
                <w:szCs w:val="16"/>
              </w:rPr>
              <w:t>nitroimidazoles</w:t>
            </w:r>
            <w:proofErr w:type="spellEnd"/>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4.94 (0.2)</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4.46</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4.46</w:t>
            </w:r>
          </w:p>
        </w:tc>
        <w:tc>
          <w:tcPr>
            <w:tcW w:w="0" w:type="auto"/>
            <w:tcBorders>
              <w:top w:val="nil"/>
              <w:left w:val="nil"/>
              <w:bottom w:val="single" w:sz="8" w:space="0" w:color="auto"/>
              <w:right w:val="nil"/>
            </w:tcBorders>
            <w:shd w:val="clear" w:color="auto" w:fill="auto"/>
            <w:tcMar>
              <w:top w:w="15" w:type="dxa"/>
              <w:left w:w="15" w:type="dxa"/>
              <w:bottom w:w="0" w:type="dxa"/>
              <w:right w:w="15" w:type="dxa"/>
            </w:tcMar>
            <w:vAlign w:val="center"/>
            <w:hideMark/>
          </w:tcPr>
          <w:p w:rsidR="001D3D60" w:rsidRDefault="001D3D60" w:rsidP="001D3D60">
            <w:pPr>
              <w:spacing w:after="0" w:line="240" w:lineRule="auto"/>
              <w:jc w:val="center"/>
              <w:rPr>
                <w:rFonts w:ascii="Arial" w:hAnsi="Arial" w:cs="Arial"/>
                <w:sz w:val="16"/>
                <w:szCs w:val="16"/>
              </w:rPr>
            </w:pPr>
            <w:r>
              <w:rPr>
                <w:rFonts w:ascii="Arial" w:hAnsi="Arial" w:cs="Arial"/>
                <w:sz w:val="16"/>
                <w:szCs w:val="16"/>
              </w:rPr>
              <w:t>&lt; 4.3</w:t>
            </w:r>
          </w:p>
        </w:tc>
      </w:tr>
    </w:tbl>
    <w:p w:rsidR="0053140D" w:rsidRPr="001D3D60" w:rsidRDefault="001D3D60" w:rsidP="001D3D60">
      <w:pPr>
        <w:spacing w:line="240" w:lineRule="auto"/>
        <w:rPr>
          <w:rFonts w:ascii="Arial" w:hAnsi="Arial" w:cs="Arial"/>
          <w:b/>
          <w:sz w:val="16"/>
          <w:szCs w:val="16"/>
        </w:rPr>
      </w:pPr>
      <w:r w:rsidRPr="00D779ED">
        <w:rPr>
          <w:rFonts w:ascii="Arial" w:hAnsi="Arial" w:cs="Arial"/>
          <w:b/>
          <w:sz w:val="16"/>
          <w:szCs w:val="16"/>
        </w:rPr>
        <w:t xml:space="preserve"> </w:t>
      </w:r>
      <w:bookmarkEnd w:id="1"/>
      <w:r>
        <w:rPr>
          <w:rFonts w:ascii="Arial" w:hAnsi="Arial" w:cs="Arial"/>
          <w:b/>
          <w:sz w:val="16"/>
          <w:szCs w:val="16"/>
        </w:rPr>
        <w:tab/>
      </w:r>
      <w:r>
        <w:rPr>
          <w:rFonts w:ascii="Arial" w:hAnsi="Arial" w:cs="Arial"/>
          <w:b/>
          <w:sz w:val="16"/>
          <w:szCs w:val="16"/>
        </w:rPr>
        <w:tab/>
      </w:r>
      <w:r w:rsidR="0053140D" w:rsidRPr="00D779ED">
        <w:rPr>
          <w:rFonts w:ascii="Arial" w:hAnsi="Arial" w:cs="Arial"/>
          <w:sz w:val="16"/>
          <w:szCs w:val="16"/>
        </w:rPr>
        <w:t>Numbers i</w:t>
      </w:r>
      <w:r w:rsidR="0053140D">
        <w:rPr>
          <w:rFonts w:ascii="Arial" w:hAnsi="Arial" w:cs="Arial"/>
          <w:sz w:val="16"/>
          <w:szCs w:val="16"/>
        </w:rPr>
        <w:t>n</w:t>
      </w:r>
      <w:r w:rsidR="0053140D" w:rsidRPr="00D779ED">
        <w:rPr>
          <w:rFonts w:ascii="Arial" w:hAnsi="Arial" w:cs="Arial"/>
          <w:sz w:val="16"/>
          <w:szCs w:val="16"/>
        </w:rPr>
        <w:t xml:space="preserve"> brackets indicate the standard deviation.</w:t>
      </w:r>
    </w:p>
    <w:p w:rsidR="0053140D" w:rsidRDefault="001D3D60">
      <w:pPr>
        <w:rPr>
          <w:rFonts w:ascii="Arial" w:hAnsi="Arial" w:cs="Arial"/>
        </w:rPr>
      </w:pPr>
      <w:r>
        <w:rPr>
          <w:rFonts w:ascii="Arial" w:hAnsi="Arial" w:cs="Arial"/>
        </w:rPr>
        <w:lastRenderedPageBreak/>
        <w:t xml:space="preserve"> </w:t>
      </w:r>
      <w:r w:rsidR="0053140D">
        <w:rPr>
          <w:rFonts w:ascii="Arial" w:hAnsi="Arial" w:cs="Arial"/>
        </w:rPr>
        <w:br w:type="page"/>
      </w:r>
    </w:p>
    <w:p w:rsidR="0053140D" w:rsidRDefault="0053140D" w:rsidP="0053140D">
      <w:pPr>
        <w:rPr>
          <w:rFonts w:ascii="Arial" w:hAnsi="Arial" w:cs="Arial"/>
          <w:b/>
        </w:rPr>
      </w:pPr>
      <w:bookmarkStart w:id="2" w:name="_Ref404086584"/>
      <w:r>
        <w:rPr>
          <w:rFonts w:ascii="Arial" w:hAnsi="Arial" w:cs="Arial"/>
          <w:b/>
        </w:rPr>
        <w:lastRenderedPageBreak/>
        <w:t>Supplementary Figures</w:t>
      </w:r>
    </w:p>
    <w:p w:rsidR="001525DE" w:rsidRDefault="001525DE" w:rsidP="001525DE">
      <w:pPr>
        <w:rPr>
          <w:rFonts w:ascii="Arial" w:hAnsi="Arial" w:cs="Arial"/>
        </w:rPr>
      </w:pPr>
      <w:r>
        <w:rPr>
          <w:rFonts w:ascii="Arial" w:hAnsi="Arial" w:cs="Arial"/>
        </w:rPr>
        <w:t>Fig</w:t>
      </w:r>
      <w:r w:rsidR="00A32980">
        <w:rPr>
          <w:rFonts w:ascii="Arial" w:hAnsi="Arial" w:cs="Arial"/>
        </w:rPr>
        <w:t xml:space="preserve"> A</w:t>
      </w:r>
      <w:r>
        <w:rPr>
          <w:rFonts w:ascii="Arial" w:hAnsi="Arial" w:cs="Arial"/>
        </w:rPr>
        <w:t>.</w:t>
      </w:r>
    </w:p>
    <w:p w:rsidR="001525DE" w:rsidRDefault="001525DE" w:rsidP="001525DE">
      <w:pPr>
        <w:spacing w:line="480" w:lineRule="auto"/>
        <w:jc w:val="both"/>
        <w:rPr>
          <w:rFonts w:ascii="Arial" w:hAnsi="Arial" w:cs="Arial"/>
          <w:noProof/>
          <w:lang w:eastAsia="en-GB"/>
        </w:rPr>
      </w:pPr>
      <w:r w:rsidRPr="007612F7">
        <w:rPr>
          <w:rFonts w:ascii="Arial" w:hAnsi="Arial" w:cs="Arial"/>
          <w:noProof/>
          <w:lang w:eastAsia="en-GB"/>
        </w:rPr>
        <w:drawing>
          <wp:inline distT="0" distB="0" distL="0" distR="0" wp14:anchorId="0CAFFD69" wp14:editId="56996E6C">
            <wp:extent cx="5731510" cy="412105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4121054"/>
                    </a:xfrm>
                    <a:prstGeom prst="rect">
                      <a:avLst/>
                    </a:prstGeom>
                  </pic:spPr>
                </pic:pic>
              </a:graphicData>
            </a:graphic>
          </wp:inline>
        </w:drawing>
      </w:r>
    </w:p>
    <w:p w:rsidR="001525DE" w:rsidRDefault="001525DE" w:rsidP="001525DE">
      <w:pPr>
        <w:spacing w:line="480" w:lineRule="auto"/>
        <w:jc w:val="both"/>
        <w:rPr>
          <w:rFonts w:ascii="Arial" w:hAnsi="Arial" w:cs="Arial"/>
        </w:rPr>
      </w:pPr>
      <w:r w:rsidRPr="00997BD4">
        <w:rPr>
          <w:rFonts w:ascii="Arial" w:hAnsi="Arial" w:cs="Arial"/>
        </w:rPr>
        <w:t>Fig</w:t>
      </w:r>
      <w:r w:rsidR="00A32980">
        <w:rPr>
          <w:rFonts w:ascii="Arial" w:hAnsi="Arial" w:cs="Arial"/>
        </w:rPr>
        <w:t xml:space="preserve"> A</w:t>
      </w:r>
      <w:r w:rsidRPr="00997BD4">
        <w:rPr>
          <w:rFonts w:ascii="Arial" w:hAnsi="Arial" w:cs="Arial"/>
        </w:rPr>
        <w:t xml:space="preserve">. </w:t>
      </w:r>
      <w:r>
        <w:rPr>
          <w:rFonts w:ascii="Arial" w:hAnsi="Arial" w:cs="Arial"/>
        </w:rPr>
        <w:t>Effect of assay start day on assay performance. Boxplot showing plate r</w:t>
      </w:r>
      <w:r w:rsidRPr="009F62E9">
        <w:rPr>
          <w:rFonts w:ascii="Arial" w:hAnsi="Arial" w:cs="Arial"/>
        </w:rPr>
        <w:t>obust</w:t>
      </w:r>
      <w:r w:rsidRPr="009F62E9">
        <w:rPr>
          <w:sz w:val="20"/>
        </w:rPr>
        <w:t> </w:t>
      </w:r>
      <w:r>
        <w:rPr>
          <w:rFonts w:ascii="Arial" w:hAnsi="Arial" w:cs="Arial"/>
        </w:rPr>
        <w:t xml:space="preserve">Z-factor (RZF) by assay start day. </w:t>
      </w:r>
      <w:r w:rsidRPr="00B8416D">
        <w:rPr>
          <w:rFonts w:ascii="Arial" w:hAnsi="Arial" w:cs="Arial"/>
        </w:rPr>
        <w:t>Data set represents</w:t>
      </w:r>
      <w:r>
        <w:rPr>
          <w:rFonts w:ascii="Arial" w:hAnsi="Arial" w:cs="Arial"/>
        </w:rPr>
        <w:t xml:space="preserve"> 154 individual data-points in total (shown in green; number of plates for each day: Monday: 40, Wednesday: 20, Thursday 34, Friday:</w:t>
      </w:r>
      <w:r w:rsidRPr="00F2545A">
        <w:rPr>
          <w:rFonts w:ascii="Arial" w:hAnsi="Arial" w:cs="Arial"/>
        </w:rPr>
        <w:t xml:space="preserve"> </w:t>
      </w:r>
      <w:r>
        <w:rPr>
          <w:rFonts w:ascii="Arial" w:hAnsi="Arial" w:cs="Arial"/>
        </w:rPr>
        <w:t>46 and Sunday 14).</w:t>
      </w:r>
      <w:r>
        <w:rPr>
          <w:rFonts w:ascii="Arial" w:hAnsi="Arial" w:cs="Arial"/>
        </w:rPr>
        <w:br w:type="page"/>
      </w:r>
    </w:p>
    <w:p w:rsidR="001525DE" w:rsidRDefault="001525DE" w:rsidP="001525DE">
      <w:pPr>
        <w:rPr>
          <w:rFonts w:ascii="Arial" w:hAnsi="Arial" w:cs="Arial"/>
        </w:rPr>
      </w:pPr>
      <w:r>
        <w:rPr>
          <w:rFonts w:ascii="Arial" w:hAnsi="Arial" w:cs="Arial"/>
        </w:rPr>
        <w:lastRenderedPageBreak/>
        <w:t>Fig</w:t>
      </w:r>
      <w:r w:rsidR="00A32980">
        <w:rPr>
          <w:rFonts w:ascii="Arial" w:hAnsi="Arial" w:cs="Arial"/>
        </w:rPr>
        <w:t xml:space="preserve"> B</w:t>
      </w:r>
      <w:r>
        <w:rPr>
          <w:rFonts w:ascii="Arial" w:hAnsi="Arial" w:cs="Arial"/>
        </w:rPr>
        <w:t>.</w:t>
      </w:r>
    </w:p>
    <w:p w:rsidR="001525DE" w:rsidRDefault="001525DE" w:rsidP="001525DE">
      <w:pPr>
        <w:spacing w:line="480" w:lineRule="auto"/>
        <w:jc w:val="both"/>
        <w:rPr>
          <w:rFonts w:ascii="Arial" w:hAnsi="Arial" w:cs="Arial"/>
          <w:noProof/>
          <w:lang w:eastAsia="en-GB"/>
        </w:rPr>
      </w:pPr>
      <w:r w:rsidRPr="007612F7">
        <w:rPr>
          <w:rFonts w:ascii="Arial" w:hAnsi="Arial" w:cs="Arial"/>
          <w:noProof/>
          <w:lang w:eastAsia="en-GB"/>
        </w:rPr>
        <w:drawing>
          <wp:inline distT="0" distB="0" distL="0" distR="0" wp14:anchorId="572E17CC" wp14:editId="1E53E2E6">
            <wp:extent cx="5731510" cy="412105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4121054"/>
                    </a:xfrm>
                    <a:prstGeom prst="rect">
                      <a:avLst/>
                    </a:prstGeom>
                  </pic:spPr>
                </pic:pic>
              </a:graphicData>
            </a:graphic>
          </wp:inline>
        </w:drawing>
      </w:r>
      <w:r w:rsidRPr="00997BD4">
        <w:rPr>
          <w:rFonts w:ascii="Arial" w:hAnsi="Arial" w:cs="Arial"/>
        </w:rPr>
        <w:t>Fig</w:t>
      </w:r>
      <w:r w:rsidR="00A32980">
        <w:rPr>
          <w:rFonts w:ascii="Arial" w:hAnsi="Arial" w:cs="Arial"/>
        </w:rPr>
        <w:t xml:space="preserve"> B</w:t>
      </w:r>
      <w:r w:rsidRPr="00997BD4">
        <w:rPr>
          <w:rFonts w:ascii="Arial" w:hAnsi="Arial" w:cs="Arial"/>
        </w:rPr>
        <w:t xml:space="preserve">. </w:t>
      </w:r>
      <w:r>
        <w:rPr>
          <w:rFonts w:ascii="Arial" w:hAnsi="Arial" w:cs="Arial"/>
        </w:rPr>
        <w:t xml:space="preserve">Effect of cell stock aliquot on assay performance. This boxplot shows two different cell stocks (derived from different frozen aliquots of the same strain) against the RZF. </w:t>
      </w:r>
      <w:r w:rsidRPr="00B8416D">
        <w:rPr>
          <w:rFonts w:ascii="Arial" w:hAnsi="Arial" w:cs="Arial"/>
        </w:rPr>
        <w:t>Data set represents</w:t>
      </w:r>
      <w:r>
        <w:rPr>
          <w:rFonts w:ascii="Arial" w:hAnsi="Arial" w:cs="Arial"/>
        </w:rPr>
        <w:t xml:space="preserve"> 154 individual data points (shown in green) with 20 assay plates started with cell stock no 1 and 134 assay plates started with cell stock no 2.</w:t>
      </w:r>
      <w:r>
        <w:rPr>
          <w:rFonts w:ascii="Arial" w:hAnsi="Arial" w:cs="Arial"/>
        </w:rPr>
        <w:br w:type="page"/>
      </w:r>
    </w:p>
    <w:p w:rsidR="001525DE" w:rsidRDefault="001525DE" w:rsidP="001525DE">
      <w:pPr>
        <w:rPr>
          <w:rFonts w:ascii="Arial" w:hAnsi="Arial" w:cs="Arial"/>
        </w:rPr>
      </w:pPr>
      <w:r>
        <w:rPr>
          <w:rFonts w:ascii="Arial" w:hAnsi="Arial" w:cs="Arial"/>
        </w:rPr>
        <w:lastRenderedPageBreak/>
        <w:t>Fig</w:t>
      </w:r>
      <w:r w:rsidR="00A32980">
        <w:rPr>
          <w:rFonts w:ascii="Arial" w:hAnsi="Arial" w:cs="Arial"/>
        </w:rPr>
        <w:t xml:space="preserve"> C</w:t>
      </w:r>
      <w:r>
        <w:rPr>
          <w:rFonts w:ascii="Arial" w:hAnsi="Arial" w:cs="Arial"/>
        </w:rPr>
        <w:t>.</w:t>
      </w:r>
    </w:p>
    <w:p w:rsidR="001525DE" w:rsidRDefault="001525DE" w:rsidP="001525DE">
      <w:pPr>
        <w:spacing w:line="480" w:lineRule="auto"/>
        <w:jc w:val="both"/>
        <w:rPr>
          <w:rFonts w:ascii="Arial" w:hAnsi="Arial" w:cs="Arial"/>
          <w:noProof/>
          <w:lang w:eastAsia="en-GB"/>
        </w:rPr>
      </w:pPr>
      <w:r w:rsidRPr="007612F7">
        <w:rPr>
          <w:rFonts w:ascii="Arial" w:hAnsi="Arial" w:cs="Arial"/>
          <w:noProof/>
          <w:lang w:eastAsia="en-GB"/>
        </w:rPr>
        <w:drawing>
          <wp:inline distT="0" distB="0" distL="0" distR="0" wp14:anchorId="133459B7" wp14:editId="5A6271E2">
            <wp:extent cx="5731510" cy="4121054"/>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4121054"/>
                    </a:xfrm>
                    <a:prstGeom prst="rect">
                      <a:avLst/>
                    </a:prstGeom>
                  </pic:spPr>
                </pic:pic>
              </a:graphicData>
            </a:graphic>
          </wp:inline>
        </w:drawing>
      </w:r>
    </w:p>
    <w:p w:rsidR="001525DE" w:rsidRPr="00847AFA" w:rsidRDefault="001525DE" w:rsidP="001525DE">
      <w:pPr>
        <w:spacing w:line="480" w:lineRule="auto"/>
        <w:jc w:val="both"/>
        <w:rPr>
          <w:rFonts w:ascii="Arial" w:hAnsi="Arial" w:cs="Arial"/>
        </w:rPr>
      </w:pPr>
      <w:r w:rsidRPr="00997BD4">
        <w:rPr>
          <w:rFonts w:ascii="Arial" w:hAnsi="Arial" w:cs="Arial"/>
        </w:rPr>
        <w:t>Fig</w:t>
      </w:r>
      <w:r w:rsidR="00A32980">
        <w:rPr>
          <w:rFonts w:ascii="Arial" w:hAnsi="Arial" w:cs="Arial"/>
        </w:rPr>
        <w:t xml:space="preserve"> C</w:t>
      </w:r>
      <w:r w:rsidRPr="00997BD4">
        <w:rPr>
          <w:rFonts w:ascii="Arial" w:hAnsi="Arial" w:cs="Arial"/>
        </w:rPr>
        <w:t xml:space="preserve">. </w:t>
      </w:r>
      <w:r>
        <w:rPr>
          <w:rFonts w:ascii="Arial" w:hAnsi="Arial" w:cs="Arial"/>
        </w:rPr>
        <w:t xml:space="preserve">Effect of cell passage number (P) on assay performance. This boxplot shows different cell passage numbers against the RZF. </w:t>
      </w:r>
      <w:r w:rsidRPr="00B8416D">
        <w:rPr>
          <w:rFonts w:ascii="Arial" w:hAnsi="Arial" w:cs="Arial"/>
        </w:rPr>
        <w:t>Data set represents</w:t>
      </w:r>
      <w:r>
        <w:rPr>
          <w:rFonts w:ascii="Arial" w:hAnsi="Arial" w:cs="Arial"/>
        </w:rPr>
        <w:t xml:space="preserve"> 154 individual data points in total. Cell passage is counted after conversion from </w:t>
      </w:r>
      <w:proofErr w:type="spellStart"/>
      <w:r>
        <w:rPr>
          <w:rFonts w:ascii="Arial" w:hAnsi="Arial" w:cs="Arial"/>
        </w:rPr>
        <w:t>promastigote</w:t>
      </w:r>
      <w:proofErr w:type="spellEnd"/>
      <w:r>
        <w:rPr>
          <w:rFonts w:ascii="Arial" w:hAnsi="Arial" w:cs="Arial"/>
        </w:rPr>
        <w:t xml:space="preserve"> form to </w:t>
      </w:r>
      <w:proofErr w:type="spellStart"/>
      <w:r>
        <w:rPr>
          <w:rFonts w:ascii="Arial" w:hAnsi="Arial" w:cs="Arial"/>
        </w:rPr>
        <w:t>amastigote</w:t>
      </w:r>
      <w:proofErr w:type="spellEnd"/>
      <w:r>
        <w:rPr>
          <w:rFonts w:ascii="Arial" w:hAnsi="Arial" w:cs="Arial"/>
        </w:rPr>
        <w:t xml:space="preserve"> form. Number of plates for each passage is as follows: </w:t>
      </w:r>
      <w:r w:rsidRPr="009E381F">
        <w:rPr>
          <w:rFonts w:ascii="Arial" w:hAnsi="Arial" w:cs="Arial"/>
        </w:rPr>
        <w:t xml:space="preserve">20 </w:t>
      </w:r>
      <w:r>
        <w:rPr>
          <w:rFonts w:ascii="Arial" w:hAnsi="Arial" w:cs="Arial"/>
        </w:rPr>
        <w:t>for</w:t>
      </w:r>
      <w:r w:rsidRPr="009E381F">
        <w:rPr>
          <w:rFonts w:ascii="Arial" w:hAnsi="Arial" w:cs="Arial"/>
        </w:rPr>
        <w:t xml:space="preserve"> P2, P6, P4, </w:t>
      </w:r>
      <w:r>
        <w:rPr>
          <w:rFonts w:ascii="Arial" w:hAnsi="Arial" w:cs="Arial"/>
        </w:rPr>
        <w:t>P11 and P12, 34 for</w:t>
      </w:r>
      <w:r w:rsidRPr="009E381F">
        <w:rPr>
          <w:rFonts w:ascii="Arial" w:hAnsi="Arial" w:cs="Arial"/>
        </w:rPr>
        <w:t xml:space="preserve"> P3</w:t>
      </w:r>
      <w:r>
        <w:rPr>
          <w:rFonts w:ascii="Arial" w:hAnsi="Arial" w:cs="Arial"/>
        </w:rPr>
        <w:t>, 6</w:t>
      </w:r>
      <w:r w:rsidRPr="009E381F">
        <w:rPr>
          <w:rFonts w:ascii="Arial" w:hAnsi="Arial" w:cs="Arial"/>
        </w:rPr>
        <w:t xml:space="preserve"> for P5 and</w:t>
      </w:r>
      <w:r>
        <w:rPr>
          <w:rFonts w:ascii="Arial" w:hAnsi="Arial" w:cs="Arial"/>
        </w:rPr>
        <w:t xml:space="preserve"> 14</w:t>
      </w:r>
      <w:r w:rsidRPr="009E381F">
        <w:rPr>
          <w:rFonts w:ascii="Arial" w:hAnsi="Arial" w:cs="Arial"/>
        </w:rPr>
        <w:t xml:space="preserve"> for P8.</w:t>
      </w:r>
    </w:p>
    <w:p w:rsidR="001525DE" w:rsidRPr="00ED6557" w:rsidRDefault="001525DE" w:rsidP="001525DE">
      <w:pPr>
        <w:spacing w:line="480" w:lineRule="auto"/>
        <w:rPr>
          <w:rFonts w:ascii="Arial" w:hAnsi="Arial" w:cs="Arial"/>
        </w:rPr>
      </w:pPr>
    </w:p>
    <w:p w:rsidR="001525DE" w:rsidRDefault="001525DE" w:rsidP="0053140D">
      <w:pPr>
        <w:rPr>
          <w:rFonts w:ascii="Arial" w:hAnsi="Arial" w:cs="Arial"/>
        </w:rPr>
      </w:pPr>
    </w:p>
    <w:p w:rsidR="001525DE" w:rsidRDefault="001525DE" w:rsidP="0053140D">
      <w:pPr>
        <w:rPr>
          <w:rFonts w:ascii="Arial" w:hAnsi="Arial" w:cs="Arial"/>
        </w:rPr>
      </w:pPr>
    </w:p>
    <w:p w:rsidR="001525DE" w:rsidRDefault="001525DE" w:rsidP="0053140D">
      <w:pPr>
        <w:rPr>
          <w:rFonts w:ascii="Arial" w:hAnsi="Arial" w:cs="Arial"/>
        </w:rPr>
      </w:pPr>
    </w:p>
    <w:p w:rsidR="001525DE" w:rsidRDefault="001525DE">
      <w:pPr>
        <w:rPr>
          <w:rFonts w:ascii="Arial" w:hAnsi="Arial" w:cs="Arial"/>
        </w:rPr>
      </w:pPr>
      <w:r>
        <w:rPr>
          <w:rFonts w:ascii="Arial" w:hAnsi="Arial" w:cs="Arial"/>
        </w:rPr>
        <w:br w:type="page"/>
      </w:r>
    </w:p>
    <w:p w:rsidR="0053140D" w:rsidRDefault="0053140D" w:rsidP="0053140D">
      <w:pPr>
        <w:rPr>
          <w:rFonts w:ascii="Arial" w:hAnsi="Arial" w:cs="Arial"/>
        </w:rPr>
      </w:pPr>
      <w:r>
        <w:rPr>
          <w:rFonts w:ascii="Arial" w:hAnsi="Arial" w:cs="Arial"/>
        </w:rPr>
        <w:lastRenderedPageBreak/>
        <w:t>Fig</w:t>
      </w:r>
      <w:r w:rsidR="00A32980">
        <w:rPr>
          <w:rFonts w:ascii="Arial" w:hAnsi="Arial" w:cs="Arial"/>
        </w:rPr>
        <w:t xml:space="preserve"> D</w:t>
      </w:r>
      <w:r w:rsidR="004C15F1">
        <w:rPr>
          <w:rFonts w:ascii="Arial" w:hAnsi="Arial" w:cs="Arial"/>
        </w:rPr>
        <w:t>.</w:t>
      </w:r>
    </w:p>
    <w:bookmarkEnd w:id="2"/>
    <w:p w:rsidR="002330DF" w:rsidRDefault="002330DF" w:rsidP="002330DF">
      <w:pPr>
        <w:spacing w:line="480" w:lineRule="auto"/>
        <w:jc w:val="both"/>
        <w:rPr>
          <w:rFonts w:ascii="Arial" w:hAnsi="Arial" w:cs="Arial"/>
        </w:rPr>
      </w:pPr>
      <w:r w:rsidRPr="00A14950">
        <w:rPr>
          <w:rFonts w:ascii="Arial" w:hAnsi="Arial" w:cs="Arial"/>
          <w:noProof/>
          <w:lang w:eastAsia="en-GB"/>
        </w:rPr>
        <w:drawing>
          <wp:inline distT="0" distB="0" distL="0" distR="0" wp14:anchorId="7B921F0D" wp14:editId="2FBE2751">
            <wp:extent cx="5731510" cy="3973480"/>
            <wp:effectExtent l="0" t="0" r="254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3973480"/>
                    </a:xfrm>
                    <a:prstGeom prst="rect">
                      <a:avLst/>
                    </a:prstGeom>
                  </pic:spPr>
                </pic:pic>
              </a:graphicData>
            </a:graphic>
          </wp:inline>
        </w:drawing>
      </w:r>
      <w:r w:rsidRPr="00997BD4">
        <w:rPr>
          <w:rFonts w:ascii="Arial" w:hAnsi="Arial" w:cs="Arial"/>
        </w:rPr>
        <w:t>Fig</w:t>
      </w:r>
      <w:r w:rsidR="00A32980">
        <w:rPr>
          <w:rFonts w:ascii="Arial" w:hAnsi="Arial" w:cs="Arial"/>
        </w:rPr>
        <w:t xml:space="preserve"> D</w:t>
      </w:r>
      <w:r w:rsidRPr="00997BD4">
        <w:rPr>
          <w:rFonts w:ascii="Arial" w:hAnsi="Arial" w:cs="Arial"/>
        </w:rPr>
        <w:t xml:space="preserve">. Novel axenic assay </w:t>
      </w:r>
      <w:r>
        <w:rPr>
          <w:rFonts w:ascii="Arial" w:hAnsi="Arial" w:cs="Arial"/>
        </w:rPr>
        <w:t>potency replicates</w:t>
      </w:r>
      <w:r w:rsidRPr="00997BD4">
        <w:rPr>
          <w:rFonts w:ascii="Arial" w:hAnsi="Arial" w:cs="Arial"/>
        </w:rPr>
        <w:t xml:space="preserve">. </w:t>
      </w:r>
      <w:r>
        <w:rPr>
          <w:rFonts w:ascii="Arial" w:hAnsi="Arial" w:cs="Arial"/>
        </w:rPr>
        <w:t xml:space="preserve">The potencies of two biological replicates for 35 compounds are plotted. Blue line shows </w:t>
      </w:r>
      <w:r w:rsidRPr="00997BD4">
        <w:rPr>
          <w:rFonts w:ascii="Arial" w:hAnsi="Arial" w:cs="Arial"/>
        </w:rPr>
        <w:t>linear regression (</w:t>
      </w:r>
      <w:r>
        <w:rPr>
          <w:rFonts w:ascii="Arial" w:hAnsi="Arial" w:cs="Arial"/>
        </w:rPr>
        <w:t>R</w:t>
      </w:r>
      <w:r w:rsidRPr="00FE1D8B">
        <w:rPr>
          <w:rFonts w:ascii="Arial" w:hAnsi="Arial" w:cs="Arial"/>
          <w:vertAlign w:val="superscript"/>
        </w:rPr>
        <w:t>2</w:t>
      </w:r>
      <w:r w:rsidRPr="00997BD4">
        <w:rPr>
          <w:rFonts w:ascii="Arial" w:hAnsi="Arial" w:cs="Arial"/>
        </w:rPr>
        <w:t xml:space="preserve"> = 0.95).</w:t>
      </w:r>
    </w:p>
    <w:p w:rsidR="001525DE" w:rsidRDefault="001525DE">
      <w:pPr>
        <w:rPr>
          <w:rFonts w:ascii="Arial" w:hAnsi="Arial" w:cs="Arial"/>
        </w:rPr>
      </w:pPr>
      <w:r>
        <w:rPr>
          <w:rFonts w:ascii="Arial" w:hAnsi="Arial" w:cs="Arial"/>
        </w:rPr>
        <w:br w:type="page"/>
      </w:r>
    </w:p>
    <w:p w:rsidR="001525DE" w:rsidRPr="001525DE" w:rsidRDefault="001525DE" w:rsidP="002330DF">
      <w:pPr>
        <w:spacing w:line="480" w:lineRule="auto"/>
        <w:jc w:val="both"/>
        <w:rPr>
          <w:rFonts w:ascii="Arial" w:hAnsi="Arial" w:cs="Arial"/>
          <w:noProof/>
          <w:lang w:eastAsia="en-GB"/>
        </w:rPr>
      </w:pPr>
      <w:r w:rsidRPr="001525DE">
        <w:rPr>
          <w:rFonts w:ascii="Arial" w:hAnsi="Arial" w:cs="Arial"/>
          <w:noProof/>
          <w:lang w:eastAsia="en-GB"/>
        </w:rPr>
        <w:lastRenderedPageBreak/>
        <w:t>Fig</w:t>
      </w:r>
      <w:r w:rsidR="00A32980">
        <w:rPr>
          <w:rFonts w:ascii="Arial" w:hAnsi="Arial" w:cs="Arial"/>
          <w:noProof/>
          <w:lang w:eastAsia="en-GB"/>
        </w:rPr>
        <w:t xml:space="preserve"> E</w:t>
      </w:r>
    </w:p>
    <w:p w:rsidR="00ED6557" w:rsidRPr="00997BD4" w:rsidRDefault="00ED6557" w:rsidP="002330DF">
      <w:pPr>
        <w:spacing w:line="480" w:lineRule="auto"/>
        <w:jc w:val="both"/>
        <w:rPr>
          <w:rFonts w:ascii="Arial" w:hAnsi="Arial" w:cs="Arial"/>
        </w:rPr>
      </w:pPr>
      <w:r>
        <w:rPr>
          <w:noProof/>
          <w:lang w:eastAsia="en-GB"/>
        </w:rPr>
        <w:drawing>
          <wp:inline distT="0" distB="0" distL="0" distR="0" wp14:anchorId="081401A6" wp14:editId="028FEC97">
            <wp:extent cx="5343525" cy="33902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0632" cy="3388365"/>
                    </a:xfrm>
                    <a:prstGeom prst="rect">
                      <a:avLst/>
                    </a:prstGeom>
                    <a:noFill/>
                  </pic:spPr>
                </pic:pic>
              </a:graphicData>
            </a:graphic>
          </wp:inline>
        </w:drawing>
      </w:r>
    </w:p>
    <w:p w:rsidR="00B61244" w:rsidRDefault="00B61244" w:rsidP="00B61244">
      <w:pPr>
        <w:spacing w:line="480" w:lineRule="auto"/>
        <w:rPr>
          <w:rFonts w:ascii="Arial" w:hAnsi="Arial" w:cs="Arial"/>
        </w:rPr>
      </w:pPr>
      <w:bookmarkStart w:id="3" w:name="_GoBack"/>
      <w:bookmarkEnd w:id="3"/>
      <w:r w:rsidRPr="001525DE">
        <w:rPr>
          <w:rFonts w:ascii="Arial" w:hAnsi="Arial" w:cs="Arial"/>
        </w:rPr>
        <w:t>Fig</w:t>
      </w:r>
      <w:r w:rsidR="00A32980">
        <w:rPr>
          <w:rFonts w:ascii="Arial" w:hAnsi="Arial" w:cs="Arial"/>
        </w:rPr>
        <w:t xml:space="preserve"> E</w:t>
      </w:r>
      <w:r w:rsidRPr="001525DE">
        <w:rPr>
          <w:rFonts w:ascii="Arial" w:hAnsi="Arial" w:cs="Arial"/>
        </w:rPr>
        <w:t xml:space="preserve">. </w:t>
      </w:r>
      <w:proofErr w:type="spellStart"/>
      <w:r w:rsidRPr="001525DE">
        <w:rPr>
          <w:rFonts w:ascii="Arial" w:hAnsi="Arial" w:cs="Arial"/>
        </w:rPr>
        <w:t>cAx</w:t>
      </w:r>
      <w:proofErr w:type="spellEnd"/>
      <w:r w:rsidRPr="001525DE">
        <w:rPr>
          <w:rFonts w:ascii="Arial" w:hAnsi="Arial" w:cs="Arial"/>
        </w:rPr>
        <w:t xml:space="preserve"> high throughput and intracellular dose response data representations in the Broad's SSAR viewer tool</w:t>
      </w:r>
      <w:r w:rsidRPr="00ED6557">
        <w:rPr>
          <w:rFonts w:ascii="Arial" w:hAnsi="Arial" w:cs="Arial"/>
          <w:b/>
        </w:rPr>
        <w:t>.</w:t>
      </w:r>
      <w:r w:rsidRPr="00ED6557">
        <w:rPr>
          <w:rFonts w:ascii="Arial" w:hAnsi="Arial" w:cs="Arial"/>
        </w:rPr>
        <w:t xml:space="preserve"> Representative hit compounds and active stereoisomers are shown at the top of each panel. The boxes below show snapshots of the library data for the indicated assay. Each box represents a set of stereoisomers for the given scaffold, e.g. 8 possible stereoisomers in Panel A and 4 possible stereoisomers for the compound shown in Panel B. Grey boxes indicate compounds that were not screened, and white areas indicate compounds that were not synthesized. The activity in each assay is </w:t>
      </w:r>
      <w:proofErr w:type="spellStart"/>
      <w:r w:rsidRPr="00ED6557">
        <w:rPr>
          <w:rFonts w:ascii="Arial" w:hAnsi="Arial" w:cs="Arial"/>
        </w:rPr>
        <w:t>color</w:t>
      </w:r>
      <w:proofErr w:type="spellEnd"/>
      <w:r w:rsidRPr="00ED6557">
        <w:rPr>
          <w:rFonts w:ascii="Arial" w:hAnsi="Arial" w:cs="Arial"/>
        </w:rPr>
        <w:t xml:space="preserve"> coded as shown in the key on the right, with more active compounds shown in red. </w:t>
      </w:r>
      <w:r w:rsidRPr="00ED6557">
        <w:rPr>
          <w:rFonts w:ascii="Arial" w:hAnsi="Arial" w:cs="Arial"/>
          <w:b/>
        </w:rPr>
        <w:t>A.</w:t>
      </w:r>
      <w:r w:rsidRPr="00ED6557">
        <w:rPr>
          <w:rFonts w:ascii="Arial" w:hAnsi="Arial" w:cs="Arial"/>
        </w:rPr>
        <w:t xml:space="preserve"> Compounds from the SnAr8-ortho library showed </w:t>
      </w:r>
      <w:proofErr w:type="spellStart"/>
      <w:r w:rsidRPr="00ED6557">
        <w:rPr>
          <w:rFonts w:ascii="Arial" w:hAnsi="Arial" w:cs="Arial"/>
        </w:rPr>
        <w:t>stereoselectivity</w:t>
      </w:r>
      <w:proofErr w:type="spellEnd"/>
      <w:r w:rsidRPr="00ED6557">
        <w:rPr>
          <w:rFonts w:ascii="Arial" w:hAnsi="Arial" w:cs="Arial"/>
        </w:rPr>
        <w:t xml:space="preserve"> in the </w:t>
      </w:r>
      <w:proofErr w:type="spellStart"/>
      <w:r w:rsidRPr="00ED6557">
        <w:rPr>
          <w:rFonts w:ascii="Arial" w:hAnsi="Arial" w:cs="Arial"/>
        </w:rPr>
        <w:t>cAx</w:t>
      </w:r>
      <w:proofErr w:type="spellEnd"/>
      <w:r w:rsidRPr="00ED6557">
        <w:rPr>
          <w:rFonts w:ascii="Arial" w:hAnsi="Arial" w:cs="Arial"/>
        </w:rPr>
        <w:t xml:space="preserve"> HTS assay, with only the SRS compound showing activity. Follow-up intracellular assays showed weak activity of the original hit in the intracellular assay (</w:t>
      </w:r>
      <w:r w:rsidR="00E13A94">
        <w:rPr>
          <w:rFonts w:ascii="Arial" w:hAnsi="Arial" w:cs="Arial"/>
        </w:rPr>
        <w:t>p</w:t>
      </w:r>
      <w:r w:rsidRPr="00ED6557">
        <w:rPr>
          <w:rFonts w:ascii="Arial" w:hAnsi="Arial" w:cs="Arial"/>
        </w:rPr>
        <w:t>EC</w:t>
      </w:r>
      <w:r w:rsidRPr="00ED6557">
        <w:rPr>
          <w:rFonts w:ascii="Arial" w:hAnsi="Arial" w:cs="Arial"/>
          <w:vertAlign w:val="subscript"/>
        </w:rPr>
        <w:t>50</w:t>
      </w:r>
      <w:r w:rsidRPr="00ED6557">
        <w:rPr>
          <w:rFonts w:ascii="Arial" w:hAnsi="Arial" w:cs="Arial"/>
        </w:rPr>
        <w:t xml:space="preserve"> = 4</w:t>
      </w:r>
      <w:r w:rsidR="00E13A94">
        <w:rPr>
          <w:rFonts w:ascii="Arial" w:hAnsi="Arial" w:cs="Arial"/>
        </w:rPr>
        <w:t>.4</w:t>
      </w:r>
      <w:r w:rsidRPr="00ED6557">
        <w:rPr>
          <w:rFonts w:ascii="Arial" w:hAnsi="Arial" w:cs="Arial"/>
        </w:rPr>
        <w:t xml:space="preserve">) and better activity in the </w:t>
      </w:r>
      <w:proofErr w:type="spellStart"/>
      <w:r w:rsidRPr="00ED6557">
        <w:rPr>
          <w:rFonts w:ascii="Arial" w:hAnsi="Arial" w:cs="Arial"/>
        </w:rPr>
        <w:t>cAx</w:t>
      </w:r>
      <w:proofErr w:type="spellEnd"/>
      <w:r w:rsidRPr="00ED6557">
        <w:rPr>
          <w:rFonts w:ascii="Arial" w:hAnsi="Arial" w:cs="Arial"/>
        </w:rPr>
        <w:t xml:space="preserve"> assay (</w:t>
      </w:r>
      <w:r w:rsidR="00E13A94">
        <w:rPr>
          <w:rFonts w:ascii="Arial" w:hAnsi="Arial" w:cs="Arial"/>
        </w:rPr>
        <w:t>p</w:t>
      </w:r>
      <w:r w:rsidRPr="00ED6557">
        <w:rPr>
          <w:rFonts w:ascii="Arial" w:hAnsi="Arial" w:cs="Arial"/>
        </w:rPr>
        <w:t>EC</w:t>
      </w:r>
      <w:r w:rsidRPr="00ED6557">
        <w:rPr>
          <w:rFonts w:ascii="Arial" w:hAnsi="Arial" w:cs="Arial"/>
          <w:vertAlign w:val="subscript"/>
        </w:rPr>
        <w:t>50</w:t>
      </w:r>
      <w:r w:rsidRPr="00ED6557">
        <w:rPr>
          <w:rFonts w:ascii="Arial" w:hAnsi="Arial" w:cs="Arial"/>
        </w:rPr>
        <w:t xml:space="preserve"> = </w:t>
      </w:r>
      <w:r w:rsidR="00E13A94">
        <w:rPr>
          <w:rFonts w:ascii="Arial" w:hAnsi="Arial" w:cs="Arial"/>
        </w:rPr>
        <w:t>4.6</w:t>
      </w:r>
      <w:r w:rsidRPr="00ED6557">
        <w:rPr>
          <w:rFonts w:ascii="Arial" w:hAnsi="Arial" w:cs="Arial"/>
        </w:rPr>
        <w:t xml:space="preserve">, data not shown). Additional analogues tested at dose showed minimal activity in the intracellular assay. </w:t>
      </w:r>
      <w:r w:rsidRPr="00ED6557">
        <w:rPr>
          <w:rFonts w:ascii="Arial" w:hAnsi="Arial" w:cs="Arial"/>
          <w:b/>
        </w:rPr>
        <w:t>B.</w:t>
      </w:r>
      <w:r w:rsidRPr="00ED6557">
        <w:rPr>
          <w:rFonts w:ascii="Arial" w:hAnsi="Arial" w:cs="Arial"/>
        </w:rPr>
        <w:t xml:space="preserve"> Compounds from the </w:t>
      </w:r>
      <w:proofErr w:type="spellStart"/>
      <w:r w:rsidRPr="00ED6557">
        <w:rPr>
          <w:rFonts w:ascii="Arial" w:hAnsi="Arial" w:cs="Arial"/>
        </w:rPr>
        <w:t>Povarov</w:t>
      </w:r>
      <w:proofErr w:type="spellEnd"/>
      <w:r w:rsidRPr="00ED6557">
        <w:rPr>
          <w:rFonts w:ascii="Arial" w:hAnsi="Arial" w:cs="Arial"/>
        </w:rPr>
        <w:t xml:space="preserve"> library were more potent in both the </w:t>
      </w:r>
      <w:proofErr w:type="spellStart"/>
      <w:r w:rsidRPr="00ED6557">
        <w:rPr>
          <w:rFonts w:ascii="Arial" w:hAnsi="Arial" w:cs="Arial"/>
        </w:rPr>
        <w:t>cAx</w:t>
      </w:r>
      <w:proofErr w:type="spellEnd"/>
      <w:r w:rsidRPr="00ED6557">
        <w:rPr>
          <w:rFonts w:ascii="Arial" w:hAnsi="Arial" w:cs="Arial"/>
        </w:rPr>
        <w:t xml:space="preserve"> and intracellular dose assays. However, as shown in the SSAR view, there were several </w:t>
      </w:r>
      <w:r w:rsidRPr="00ED6557">
        <w:rPr>
          <w:rFonts w:ascii="Arial" w:hAnsi="Arial" w:cs="Arial"/>
        </w:rPr>
        <w:lastRenderedPageBreak/>
        <w:t>instances of enantiomers with very similar activity, suggesting that stereochemistry is not a component of the activity for this scaffold.</w:t>
      </w:r>
    </w:p>
    <w:sectPr w:rsidR="00B61244" w:rsidSect="00170F65">
      <w:type w:val="continuous"/>
      <w:pgSz w:w="11906" w:h="16838" w:code="9"/>
      <w:pgMar w:top="1440" w:right="1440" w:bottom="1440" w:left="1440"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046C8"/>
    <w:multiLevelType w:val="hybridMultilevel"/>
    <w:tmpl w:val="3A08AB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C74F65"/>
    <w:multiLevelType w:val="hybridMultilevel"/>
    <w:tmpl w:val="3DE4BFD8"/>
    <w:lvl w:ilvl="0" w:tplc="76400E9E">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040FF2"/>
    <w:multiLevelType w:val="hybridMultilevel"/>
    <w:tmpl w:val="CDB04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terdffz0a95teevz5p5aap7ex09ffwva9xr&quot;&gt;DWG Group References&lt;record-ids&gt;&lt;item&gt;100&lt;/item&gt;&lt;item&gt;114&lt;/item&gt;&lt;item&gt;597&lt;/item&gt;&lt;item&gt;605&lt;/item&gt;&lt;item&gt;606&lt;/item&gt;&lt;item&gt;607&lt;/item&gt;&lt;item&gt;608&lt;/item&gt;&lt;item&gt;615&lt;/item&gt;&lt;item&gt;616&lt;/item&gt;&lt;item&gt;617&lt;/item&gt;&lt;item&gt;618&lt;/item&gt;&lt;item&gt;626&lt;/item&gt;&lt;item&gt;635&lt;/item&gt;&lt;item&gt;649&lt;/item&gt;&lt;item&gt;656&lt;/item&gt;&lt;item&gt;657&lt;/item&gt;&lt;/record-ids&gt;&lt;/item&gt;&lt;/Libraries&gt;"/>
  </w:docVars>
  <w:rsids>
    <w:rsidRoot w:val="00567B7A"/>
    <w:rsid w:val="000005DF"/>
    <w:rsid w:val="0000280A"/>
    <w:rsid w:val="00004E7C"/>
    <w:rsid w:val="00007F7C"/>
    <w:rsid w:val="00010380"/>
    <w:rsid w:val="000107FB"/>
    <w:rsid w:val="000162BA"/>
    <w:rsid w:val="00025EA9"/>
    <w:rsid w:val="00031C07"/>
    <w:rsid w:val="00040791"/>
    <w:rsid w:val="00040A75"/>
    <w:rsid w:val="00041343"/>
    <w:rsid w:val="00042EA9"/>
    <w:rsid w:val="000446CD"/>
    <w:rsid w:val="00045AA7"/>
    <w:rsid w:val="00045E0B"/>
    <w:rsid w:val="00046123"/>
    <w:rsid w:val="00054B65"/>
    <w:rsid w:val="00060F23"/>
    <w:rsid w:val="00061B4F"/>
    <w:rsid w:val="00062643"/>
    <w:rsid w:val="00063624"/>
    <w:rsid w:val="00063D24"/>
    <w:rsid w:val="000648A6"/>
    <w:rsid w:val="00071F5C"/>
    <w:rsid w:val="00073A0F"/>
    <w:rsid w:val="000756A5"/>
    <w:rsid w:val="000758FD"/>
    <w:rsid w:val="00076A7D"/>
    <w:rsid w:val="000779EE"/>
    <w:rsid w:val="00077E1A"/>
    <w:rsid w:val="00080F9C"/>
    <w:rsid w:val="000843EE"/>
    <w:rsid w:val="000846BC"/>
    <w:rsid w:val="00084936"/>
    <w:rsid w:val="0008518A"/>
    <w:rsid w:val="000852C2"/>
    <w:rsid w:val="00087A46"/>
    <w:rsid w:val="00090188"/>
    <w:rsid w:val="00090407"/>
    <w:rsid w:val="000933D0"/>
    <w:rsid w:val="000952F7"/>
    <w:rsid w:val="00096A99"/>
    <w:rsid w:val="000A2B16"/>
    <w:rsid w:val="000A5A0A"/>
    <w:rsid w:val="000A75CA"/>
    <w:rsid w:val="000B1248"/>
    <w:rsid w:val="000B249C"/>
    <w:rsid w:val="000B52E2"/>
    <w:rsid w:val="000B7EB1"/>
    <w:rsid w:val="000C0E49"/>
    <w:rsid w:val="000C307F"/>
    <w:rsid w:val="000C4200"/>
    <w:rsid w:val="000C49A9"/>
    <w:rsid w:val="000D22E0"/>
    <w:rsid w:val="000D3495"/>
    <w:rsid w:val="000D490D"/>
    <w:rsid w:val="000E1AE0"/>
    <w:rsid w:val="000E29EE"/>
    <w:rsid w:val="000E31B4"/>
    <w:rsid w:val="000E4CD6"/>
    <w:rsid w:val="000F3FAD"/>
    <w:rsid w:val="000F49F0"/>
    <w:rsid w:val="00100546"/>
    <w:rsid w:val="0010190E"/>
    <w:rsid w:val="00101FE6"/>
    <w:rsid w:val="0010719E"/>
    <w:rsid w:val="0010786D"/>
    <w:rsid w:val="0011063B"/>
    <w:rsid w:val="00110732"/>
    <w:rsid w:val="00110ACC"/>
    <w:rsid w:val="0011122B"/>
    <w:rsid w:val="00114E47"/>
    <w:rsid w:val="00115B18"/>
    <w:rsid w:val="00117F48"/>
    <w:rsid w:val="00120301"/>
    <w:rsid w:val="001204AE"/>
    <w:rsid w:val="00122186"/>
    <w:rsid w:val="001244AE"/>
    <w:rsid w:val="00126365"/>
    <w:rsid w:val="00126815"/>
    <w:rsid w:val="00130F39"/>
    <w:rsid w:val="00130F82"/>
    <w:rsid w:val="00131FC7"/>
    <w:rsid w:val="00133CEF"/>
    <w:rsid w:val="00134B11"/>
    <w:rsid w:val="00137922"/>
    <w:rsid w:val="00137ECE"/>
    <w:rsid w:val="00140FFA"/>
    <w:rsid w:val="0014109B"/>
    <w:rsid w:val="00143179"/>
    <w:rsid w:val="00150772"/>
    <w:rsid w:val="001525DE"/>
    <w:rsid w:val="001556B0"/>
    <w:rsid w:val="00162D52"/>
    <w:rsid w:val="001639C7"/>
    <w:rsid w:val="001644B4"/>
    <w:rsid w:val="00165C49"/>
    <w:rsid w:val="001672AF"/>
    <w:rsid w:val="001705DE"/>
    <w:rsid w:val="00170F65"/>
    <w:rsid w:val="00173A1E"/>
    <w:rsid w:val="00174000"/>
    <w:rsid w:val="00176DFB"/>
    <w:rsid w:val="0017721D"/>
    <w:rsid w:val="00177811"/>
    <w:rsid w:val="00177FC4"/>
    <w:rsid w:val="00181104"/>
    <w:rsid w:val="00191F39"/>
    <w:rsid w:val="0019348D"/>
    <w:rsid w:val="00195B06"/>
    <w:rsid w:val="00196D06"/>
    <w:rsid w:val="00197DF3"/>
    <w:rsid w:val="001A48AA"/>
    <w:rsid w:val="001A61FD"/>
    <w:rsid w:val="001A6D9A"/>
    <w:rsid w:val="001A6FB9"/>
    <w:rsid w:val="001B0042"/>
    <w:rsid w:val="001B0343"/>
    <w:rsid w:val="001B14AF"/>
    <w:rsid w:val="001B3B2B"/>
    <w:rsid w:val="001B3E46"/>
    <w:rsid w:val="001B6BBE"/>
    <w:rsid w:val="001C0AFC"/>
    <w:rsid w:val="001C0EE1"/>
    <w:rsid w:val="001C2FCE"/>
    <w:rsid w:val="001C3954"/>
    <w:rsid w:val="001C4B01"/>
    <w:rsid w:val="001C4B47"/>
    <w:rsid w:val="001C5460"/>
    <w:rsid w:val="001C551D"/>
    <w:rsid w:val="001C69DB"/>
    <w:rsid w:val="001C6DB1"/>
    <w:rsid w:val="001D099D"/>
    <w:rsid w:val="001D0D7B"/>
    <w:rsid w:val="001D2A9E"/>
    <w:rsid w:val="001D2D7B"/>
    <w:rsid w:val="001D3D60"/>
    <w:rsid w:val="001D5911"/>
    <w:rsid w:val="001D5D3C"/>
    <w:rsid w:val="001D5FD5"/>
    <w:rsid w:val="001E1559"/>
    <w:rsid w:val="001E3829"/>
    <w:rsid w:val="001E40B2"/>
    <w:rsid w:val="001E4F4A"/>
    <w:rsid w:val="001E5968"/>
    <w:rsid w:val="001E6B2A"/>
    <w:rsid w:val="001F0815"/>
    <w:rsid w:val="001F08CE"/>
    <w:rsid w:val="001F149F"/>
    <w:rsid w:val="00204365"/>
    <w:rsid w:val="00205B80"/>
    <w:rsid w:val="002127CD"/>
    <w:rsid w:val="0021653B"/>
    <w:rsid w:val="00216F01"/>
    <w:rsid w:val="00217C46"/>
    <w:rsid w:val="00217FCC"/>
    <w:rsid w:val="00222741"/>
    <w:rsid w:val="00222D9F"/>
    <w:rsid w:val="002243C4"/>
    <w:rsid w:val="00224B44"/>
    <w:rsid w:val="00225B6F"/>
    <w:rsid w:val="00226962"/>
    <w:rsid w:val="002330DF"/>
    <w:rsid w:val="002353A7"/>
    <w:rsid w:val="002374EC"/>
    <w:rsid w:val="00244083"/>
    <w:rsid w:val="0024415F"/>
    <w:rsid w:val="002443BA"/>
    <w:rsid w:val="002467CC"/>
    <w:rsid w:val="00247F86"/>
    <w:rsid w:val="00250505"/>
    <w:rsid w:val="00250547"/>
    <w:rsid w:val="00251F35"/>
    <w:rsid w:val="002527EF"/>
    <w:rsid w:val="002536CE"/>
    <w:rsid w:val="002557CC"/>
    <w:rsid w:val="002558B3"/>
    <w:rsid w:val="002561CD"/>
    <w:rsid w:val="00260DC6"/>
    <w:rsid w:val="0026194C"/>
    <w:rsid w:val="00262513"/>
    <w:rsid w:val="00265C1B"/>
    <w:rsid w:val="00266288"/>
    <w:rsid w:val="00266AAC"/>
    <w:rsid w:val="0027104C"/>
    <w:rsid w:val="00272220"/>
    <w:rsid w:val="00272802"/>
    <w:rsid w:val="00272EAB"/>
    <w:rsid w:val="00281A9E"/>
    <w:rsid w:val="002856C7"/>
    <w:rsid w:val="00287B0B"/>
    <w:rsid w:val="00293A04"/>
    <w:rsid w:val="00295DFD"/>
    <w:rsid w:val="002A0F35"/>
    <w:rsid w:val="002A437F"/>
    <w:rsid w:val="002B0161"/>
    <w:rsid w:val="002C32A4"/>
    <w:rsid w:val="002C5129"/>
    <w:rsid w:val="002C6FB4"/>
    <w:rsid w:val="002C76D3"/>
    <w:rsid w:val="002D0186"/>
    <w:rsid w:val="002D2C5A"/>
    <w:rsid w:val="002D3F06"/>
    <w:rsid w:val="002D6AEF"/>
    <w:rsid w:val="002E3235"/>
    <w:rsid w:val="002F6B8F"/>
    <w:rsid w:val="0030412D"/>
    <w:rsid w:val="00304D11"/>
    <w:rsid w:val="00307546"/>
    <w:rsid w:val="003206B9"/>
    <w:rsid w:val="00320EB3"/>
    <w:rsid w:val="0032250F"/>
    <w:rsid w:val="00324764"/>
    <w:rsid w:val="0032515C"/>
    <w:rsid w:val="00325FA0"/>
    <w:rsid w:val="003264A7"/>
    <w:rsid w:val="00330D3E"/>
    <w:rsid w:val="00334445"/>
    <w:rsid w:val="00334AF6"/>
    <w:rsid w:val="00342CA3"/>
    <w:rsid w:val="00345F45"/>
    <w:rsid w:val="003514FB"/>
    <w:rsid w:val="0035165B"/>
    <w:rsid w:val="00352075"/>
    <w:rsid w:val="00353C9C"/>
    <w:rsid w:val="00353DBA"/>
    <w:rsid w:val="00356960"/>
    <w:rsid w:val="0036288D"/>
    <w:rsid w:val="0036321E"/>
    <w:rsid w:val="00363B41"/>
    <w:rsid w:val="003643BC"/>
    <w:rsid w:val="00371B39"/>
    <w:rsid w:val="00381EE0"/>
    <w:rsid w:val="003828B5"/>
    <w:rsid w:val="003829EC"/>
    <w:rsid w:val="003839E8"/>
    <w:rsid w:val="0039372B"/>
    <w:rsid w:val="00395FBE"/>
    <w:rsid w:val="003964FE"/>
    <w:rsid w:val="00396827"/>
    <w:rsid w:val="003970ED"/>
    <w:rsid w:val="003A3291"/>
    <w:rsid w:val="003A3DC4"/>
    <w:rsid w:val="003A60DF"/>
    <w:rsid w:val="003A623E"/>
    <w:rsid w:val="003A72D3"/>
    <w:rsid w:val="003A76ED"/>
    <w:rsid w:val="003A7F54"/>
    <w:rsid w:val="003B1689"/>
    <w:rsid w:val="003B402D"/>
    <w:rsid w:val="003B79D2"/>
    <w:rsid w:val="003C556C"/>
    <w:rsid w:val="003C7445"/>
    <w:rsid w:val="003D23D7"/>
    <w:rsid w:val="003D24F1"/>
    <w:rsid w:val="003D2C36"/>
    <w:rsid w:val="003D3C48"/>
    <w:rsid w:val="003D6B3D"/>
    <w:rsid w:val="003E228C"/>
    <w:rsid w:val="003E3926"/>
    <w:rsid w:val="003E4415"/>
    <w:rsid w:val="003E498D"/>
    <w:rsid w:val="003F14D4"/>
    <w:rsid w:val="003F3257"/>
    <w:rsid w:val="003F3596"/>
    <w:rsid w:val="003F5E6C"/>
    <w:rsid w:val="003F7001"/>
    <w:rsid w:val="00400C05"/>
    <w:rsid w:val="004043FA"/>
    <w:rsid w:val="004067B6"/>
    <w:rsid w:val="0040759C"/>
    <w:rsid w:val="00411210"/>
    <w:rsid w:val="004119EC"/>
    <w:rsid w:val="00413F5F"/>
    <w:rsid w:val="00415294"/>
    <w:rsid w:val="00415F9E"/>
    <w:rsid w:val="00417380"/>
    <w:rsid w:val="00420677"/>
    <w:rsid w:val="004210F6"/>
    <w:rsid w:val="004214D3"/>
    <w:rsid w:val="00421817"/>
    <w:rsid w:val="00421EC1"/>
    <w:rsid w:val="00422398"/>
    <w:rsid w:val="00422EF0"/>
    <w:rsid w:val="004230B0"/>
    <w:rsid w:val="0042425B"/>
    <w:rsid w:val="004268C3"/>
    <w:rsid w:val="00426E05"/>
    <w:rsid w:val="004305CB"/>
    <w:rsid w:val="004307B8"/>
    <w:rsid w:val="00430E18"/>
    <w:rsid w:val="00431750"/>
    <w:rsid w:val="00432FC0"/>
    <w:rsid w:val="00433043"/>
    <w:rsid w:val="00433892"/>
    <w:rsid w:val="00434550"/>
    <w:rsid w:val="004368AA"/>
    <w:rsid w:val="00436DA6"/>
    <w:rsid w:val="004427B7"/>
    <w:rsid w:val="004444D7"/>
    <w:rsid w:val="00445B5D"/>
    <w:rsid w:val="00445BC9"/>
    <w:rsid w:val="00445DCF"/>
    <w:rsid w:val="00446443"/>
    <w:rsid w:val="00454E4F"/>
    <w:rsid w:val="00454FEC"/>
    <w:rsid w:val="00455EBA"/>
    <w:rsid w:val="00460CD8"/>
    <w:rsid w:val="00461389"/>
    <w:rsid w:val="004700E3"/>
    <w:rsid w:val="0047117E"/>
    <w:rsid w:val="004731EE"/>
    <w:rsid w:val="00473EBA"/>
    <w:rsid w:val="004740BD"/>
    <w:rsid w:val="00474771"/>
    <w:rsid w:val="0048072E"/>
    <w:rsid w:val="004836CD"/>
    <w:rsid w:val="004840A9"/>
    <w:rsid w:val="00485031"/>
    <w:rsid w:val="004907ED"/>
    <w:rsid w:val="00492016"/>
    <w:rsid w:val="00492364"/>
    <w:rsid w:val="00492CEB"/>
    <w:rsid w:val="00493D4E"/>
    <w:rsid w:val="004953C0"/>
    <w:rsid w:val="00495BE3"/>
    <w:rsid w:val="004A0868"/>
    <w:rsid w:val="004A08B2"/>
    <w:rsid w:val="004A0C22"/>
    <w:rsid w:val="004A1024"/>
    <w:rsid w:val="004A133C"/>
    <w:rsid w:val="004A4483"/>
    <w:rsid w:val="004B0C3F"/>
    <w:rsid w:val="004B1C9E"/>
    <w:rsid w:val="004B1E8D"/>
    <w:rsid w:val="004B2269"/>
    <w:rsid w:val="004B2870"/>
    <w:rsid w:val="004B3883"/>
    <w:rsid w:val="004B4F07"/>
    <w:rsid w:val="004C15F1"/>
    <w:rsid w:val="004C17A2"/>
    <w:rsid w:val="004C2E09"/>
    <w:rsid w:val="004C4048"/>
    <w:rsid w:val="004C4160"/>
    <w:rsid w:val="004D06FD"/>
    <w:rsid w:val="004D3BDC"/>
    <w:rsid w:val="004D4D0F"/>
    <w:rsid w:val="004D7823"/>
    <w:rsid w:val="004E2FB4"/>
    <w:rsid w:val="004E7421"/>
    <w:rsid w:val="004E749C"/>
    <w:rsid w:val="004F3E2E"/>
    <w:rsid w:val="004F51D8"/>
    <w:rsid w:val="004F7A11"/>
    <w:rsid w:val="00500944"/>
    <w:rsid w:val="00504E99"/>
    <w:rsid w:val="0050550B"/>
    <w:rsid w:val="0050574C"/>
    <w:rsid w:val="005117F5"/>
    <w:rsid w:val="00512816"/>
    <w:rsid w:val="00512FE3"/>
    <w:rsid w:val="00513E71"/>
    <w:rsid w:val="00513F95"/>
    <w:rsid w:val="005154D8"/>
    <w:rsid w:val="00516660"/>
    <w:rsid w:val="00516BFD"/>
    <w:rsid w:val="00522DF4"/>
    <w:rsid w:val="00524C44"/>
    <w:rsid w:val="00525758"/>
    <w:rsid w:val="00525FCC"/>
    <w:rsid w:val="0053140D"/>
    <w:rsid w:val="0053167B"/>
    <w:rsid w:val="00535C5D"/>
    <w:rsid w:val="00536717"/>
    <w:rsid w:val="005368B4"/>
    <w:rsid w:val="00540EBE"/>
    <w:rsid w:val="00542017"/>
    <w:rsid w:val="00544A49"/>
    <w:rsid w:val="00544C4D"/>
    <w:rsid w:val="00545127"/>
    <w:rsid w:val="005451CC"/>
    <w:rsid w:val="00556F69"/>
    <w:rsid w:val="00557005"/>
    <w:rsid w:val="00560F7C"/>
    <w:rsid w:val="00561D32"/>
    <w:rsid w:val="00561F58"/>
    <w:rsid w:val="00562C5A"/>
    <w:rsid w:val="00566E89"/>
    <w:rsid w:val="00567ADF"/>
    <w:rsid w:val="00567B7A"/>
    <w:rsid w:val="00570825"/>
    <w:rsid w:val="005723F8"/>
    <w:rsid w:val="00572552"/>
    <w:rsid w:val="00572818"/>
    <w:rsid w:val="00574593"/>
    <w:rsid w:val="00574B84"/>
    <w:rsid w:val="00575AFD"/>
    <w:rsid w:val="00581F04"/>
    <w:rsid w:val="00582E55"/>
    <w:rsid w:val="00583840"/>
    <w:rsid w:val="00584A9A"/>
    <w:rsid w:val="005864E4"/>
    <w:rsid w:val="00590601"/>
    <w:rsid w:val="00590BB6"/>
    <w:rsid w:val="00592275"/>
    <w:rsid w:val="00592586"/>
    <w:rsid w:val="00592DA9"/>
    <w:rsid w:val="005A1D96"/>
    <w:rsid w:val="005A26E8"/>
    <w:rsid w:val="005A5EC1"/>
    <w:rsid w:val="005B0482"/>
    <w:rsid w:val="005B5AFA"/>
    <w:rsid w:val="005C0A77"/>
    <w:rsid w:val="005C1D95"/>
    <w:rsid w:val="005C6B6E"/>
    <w:rsid w:val="005D4715"/>
    <w:rsid w:val="005D5668"/>
    <w:rsid w:val="005E1390"/>
    <w:rsid w:val="005E317A"/>
    <w:rsid w:val="005E3492"/>
    <w:rsid w:val="005E4252"/>
    <w:rsid w:val="005E4B90"/>
    <w:rsid w:val="005E668E"/>
    <w:rsid w:val="005E694E"/>
    <w:rsid w:val="005F2F93"/>
    <w:rsid w:val="005F6AA1"/>
    <w:rsid w:val="005F6ACF"/>
    <w:rsid w:val="005F7479"/>
    <w:rsid w:val="00600BCF"/>
    <w:rsid w:val="00600F23"/>
    <w:rsid w:val="00600F63"/>
    <w:rsid w:val="00603655"/>
    <w:rsid w:val="00604DF5"/>
    <w:rsid w:val="00606FFF"/>
    <w:rsid w:val="00611E29"/>
    <w:rsid w:val="0061201C"/>
    <w:rsid w:val="006132EF"/>
    <w:rsid w:val="006133C2"/>
    <w:rsid w:val="006134AE"/>
    <w:rsid w:val="00613FEF"/>
    <w:rsid w:val="0061629E"/>
    <w:rsid w:val="00616B58"/>
    <w:rsid w:val="00622069"/>
    <w:rsid w:val="006232F6"/>
    <w:rsid w:val="006261DD"/>
    <w:rsid w:val="00626B91"/>
    <w:rsid w:val="0063004A"/>
    <w:rsid w:val="00631820"/>
    <w:rsid w:val="00631AF6"/>
    <w:rsid w:val="00632AFB"/>
    <w:rsid w:val="00641BC4"/>
    <w:rsid w:val="00643A5C"/>
    <w:rsid w:val="00643CA9"/>
    <w:rsid w:val="006508CC"/>
    <w:rsid w:val="0065117C"/>
    <w:rsid w:val="00652021"/>
    <w:rsid w:val="00652A7F"/>
    <w:rsid w:val="00655E80"/>
    <w:rsid w:val="00657707"/>
    <w:rsid w:val="00660154"/>
    <w:rsid w:val="006617C9"/>
    <w:rsid w:val="0066185B"/>
    <w:rsid w:val="00661AD3"/>
    <w:rsid w:val="00663890"/>
    <w:rsid w:val="00664090"/>
    <w:rsid w:val="0066749A"/>
    <w:rsid w:val="0067125D"/>
    <w:rsid w:val="006777E7"/>
    <w:rsid w:val="00677FB5"/>
    <w:rsid w:val="006804AD"/>
    <w:rsid w:val="006827E5"/>
    <w:rsid w:val="00682D59"/>
    <w:rsid w:val="00683D30"/>
    <w:rsid w:val="00683FCD"/>
    <w:rsid w:val="00685247"/>
    <w:rsid w:val="006858B5"/>
    <w:rsid w:val="006862BE"/>
    <w:rsid w:val="00687698"/>
    <w:rsid w:val="006914B2"/>
    <w:rsid w:val="00694600"/>
    <w:rsid w:val="00694FB8"/>
    <w:rsid w:val="006975D5"/>
    <w:rsid w:val="006A16C8"/>
    <w:rsid w:val="006A23F0"/>
    <w:rsid w:val="006A2903"/>
    <w:rsid w:val="006A451A"/>
    <w:rsid w:val="006A4E1F"/>
    <w:rsid w:val="006A5885"/>
    <w:rsid w:val="006A5A04"/>
    <w:rsid w:val="006A5BF1"/>
    <w:rsid w:val="006A69A9"/>
    <w:rsid w:val="006B28DF"/>
    <w:rsid w:val="006B304D"/>
    <w:rsid w:val="006B3C93"/>
    <w:rsid w:val="006B40FC"/>
    <w:rsid w:val="006B5A98"/>
    <w:rsid w:val="006B5D97"/>
    <w:rsid w:val="006B67CA"/>
    <w:rsid w:val="006B75AD"/>
    <w:rsid w:val="006C15F1"/>
    <w:rsid w:val="006C22F1"/>
    <w:rsid w:val="006C391E"/>
    <w:rsid w:val="006C46BF"/>
    <w:rsid w:val="006C46DC"/>
    <w:rsid w:val="006C5F28"/>
    <w:rsid w:val="006C692D"/>
    <w:rsid w:val="006D0BC1"/>
    <w:rsid w:val="006D17BA"/>
    <w:rsid w:val="006D7B84"/>
    <w:rsid w:val="006E28A0"/>
    <w:rsid w:val="006E604C"/>
    <w:rsid w:val="006E6509"/>
    <w:rsid w:val="006F6110"/>
    <w:rsid w:val="006F73DF"/>
    <w:rsid w:val="00700921"/>
    <w:rsid w:val="007041E6"/>
    <w:rsid w:val="007042B3"/>
    <w:rsid w:val="00705CA6"/>
    <w:rsid w:val="007068A6"/>
    <w:rsid w:val="00712A87"/>
    <w:rsid w:val="007139C1"/>
    <w:rsid w:val="00715A1E"/>
    <w:rsid w:val="00716A22"/>
    <w:rsid w:val="00720BD4"/>
    <w:rsid w:val="0072192F"/>
    <w:rsid w:val="00721E3F"/>
    <w:rsid w:val="0072222E"/>
    <w:rsid w:val="00730140"/>
    <w:rsid w:val="00731100"/>
    <w:rsid w:val="007318E8"/>
    <w:rsid w:val="00731D99"/>
    <w:rsid w:val="007321B6"/>
    <w:rsid w:val="00733DBC"/>
    <w:rsid w:val="00735C5C"/>
    <w:rsid w:val="007364C7"/>
    <w:rsid w:val="0073731D"/>
    <w:rsid w:val="007401FF"/>
    <w:rsid w:val="00742CAD"/>
    <w:rsid w:val="00743828"/>
    <w:rsid w:val="007449CD"/>
    <w:rsid w:val="0074520D"/>
    <w:rsid w:val="007460CC"/>
    <w:rsid w:val="00746FDE"/>
    <w:rsid w:val="007507B1"/>
    <w:rsid w:val="00750D18"/>
    <w:rsid w:val="00750FC3"/>
    <w:rsid w:val="00750FD2"/>
    <w:rsid w:val="00751F6C"/>
    <w:rsid w:val="0075324E"/>
    <w:rsid w:val="00753F8A"/>
    <w:rsid w:val="0075753E"/>
    <w:rsid w:val="00757D5E"/>
    <w:rsid w:val="00761F61"/>
    <w:rsid w:val="00762EBF"/>
    <w:rsid w:val="00763144"/>
    <w:rsid w:val="00767404"/>
    <w:rsid w:val="007677FA"/>
    <w:rsid w:val="00770027"/>
    <w:rsid w:val="00772405"/>
    <w:rsid w:val="00772D7C"/>
    <w:rsid w:val="00773510"/>
    <w:rsid w:val="00775C8E"/>
    <w:rsid w:val="007822F4"/>
    <w:rsid w:val="007830A3"/>
    <w:rsid w:val="007866FD"/>
    <w:rsid w:val="00787813"/>
    <w:rsid w:val="00787C33"/>
    <w:rsid w:val="00791446"/>
    <w:rsid w:val="00792ECF"/>
    <w:rsid w:val="007963F3"/>
    <w:rsid w:val="007972C4"/>
    <w:rsid w:val="007A08F4"/>
    <w:rsid w:val="007A2C0C"/>
    <w:rsid w:val="007A370B"/>
    <w:rsid w:val="007A449E"/>
    <w:rsid w:val="007A49E9"/>
    <w:rsid w:val="007A5913"/>
    <w:rsid w:val="007A6CF4"/>
    <w:rsid w:val="007A7CAA"/>
    <w:rsid w:val="007B08B6"/>
    <w:rsid w:val="007B63B7"/>
    <w:rsid w:val="007B6719"/>
    <w:rsid w:val="007B6775"/>
    <w:rsid w:val="007C2514"/>
    <w:rsid w:val="007C304D"/>
    <w:rsid w:val="007C3B4A"/>
    <w:rsid w:val="007C4490"/>
    <w:rsid w:val="007C4B0B"/>
    <w:rsid w:val="007C4BD5"/>
    <w:rsid w:val="007C5432"/>
    <w:rsid w:val="007E303E"/>
    <w:rsid w:val="007E4C72"/>
    <w:rsid w:val="007F0356"/>
    <w:rsid w:val="007F0CC0"/>
    <w:rsid w:val="007F1287"/>
    <w:rsid w:val="007F3A3D"/>
    <w:rsid w:val="007F661B"/>
    <w:rsid w:val="007F69F5"/>
    <w:rsid w:val="008016E0"/>
    <w:rsid w:val="0080302F"/>
    <w:rsid w:val="008033EA"/>
    <w:rsid w:val="00804E4B"/>
    <w:rsid w:val="00805432"/>
    <w:rsid w:val="00805BCD"/>
    <w:rsid w:val="00807B9E"/>
    <w:rsid w:val="00812CBE"/>
    <w:rsid w:val="008170BA"/>
    <w:rsid w:val="0082021D"/>
    <w:rsid w:val="00820470"/>
    <w:rsid w:val="0082264C"/>
    <w:rsid w:val="00823255"/>
    <w:rsid w:val="00825FA9"/>
    <w:rsid w:val="00827130"/>
    <w:rsid w:val="00830954"/>
    <w:rsid w:val="00840130"/>
    <w:rsid w:val="00840A07"/>
    <w:rsid w:val="00844280"/>
    <w:rsid w:val="008445BF"/>
    <w:rsid w:val="00846EEA"/>
    <w:rsid w:val="00851FB3"/>
    <w:rsid w:val="00854C5C"/>
    <w:rsid w:val="008553B0"/>
    <w:rsid w:val="00856CF3"/>
    <w:rsid w:val="00857893"/>
    <w:rsid w:val="00862734"/>
    <w:rsid w:val="00862C91"/>
    <w:rsid w:val="00862EAD"/>
    <w:rsid w:val="008649A7"/>
    <w:rsid w:val="00864D3C"/>
    <w:rsid w:val="008656AD"/>
    <w:rsid w:val="0086577C"/>
    <w:rsid w:val="00867704"/>
    <w:rsid w:val="00872020"/>
    <w:rsid w:val="00876BEF"/>
    <w:rsid w:val="00881DE0"/>
    <w:rsid w:val="00881EB2"/>
    <w:rsid w:val="00882DEA"/>
    <w:rsid w:val="00884E58"/>
    <w:rsid w:val="0088754D"/>
    <w:rsid w:val="00895005"/>
    <w:rsid w:val="00896353"/>
    <w:rsid w:val="008A1D7B"/>
    <w:rsid w:val="008A3161"/>
    <w:rsid w:val="008A3553"/>
    <w:rsid w:val="008B08A9"/>
    <w:rsid w:val="008B1333"/>
    <w:rsid w:val="008B1E73"/>
    <w:rsid w:val="008B213D"/>
    <w:rsid w:val="008B71C5"/>
    <w:rsid w:val="008C3755"/>
    <w:rsid w:val="008C59E6"/>
    <w:rsid w:val="008D24BC"/>
    <w:rsid w:val="008D5100"/>
    <w:rsid w:val="008D6460"/>
    <w:rsid w:val="008E08DB"/>
    <w:rsid w:val="008E15D3"/>
    <w:rsid w:val="008E642A"/>
    <w:rsid w:val="008F1591"/>
    <w:rsid w:val="008F501D"/>
    <w:rsid w:val="008F7014"/>
    <w:rsid w:val="00902F7D"/>
    <w:rsid w:val="009032B7"/>
    <w:rsid w:val="00907252"/>
    <w:rsid w:val="009102AD"/>
    <w:rsid w:val="00910F0C"/>
    <w:rsid w:val="0091234D"/>
    <w:rsid w:val="00912BFC"/>
    <w:rsid w:val="0091526A"/>
    <w:rsid w:val="009243F7"/>
    <w:rsid w:val="00924641"/>
    <w:rsid w:val="0092532C"/>
    <w:rsid w:val="0092775C"/>
    <w:rsid w:val="009277EA"/>
    <w:rsid w:val="0093054C"/>
    <w:rsid w:val="00930E35"/>
    <w:rsid w:val="00930EF6"/>
    <w:rsid w:val="00933287"/>
    <w:rsid w:val="00934F82"/>
    <w:rsid w:val="0093558C"/>
    <w:rsid w:val="00936718"/>
    <w:rsid w:val="00937427"/>
    <w:rsid w:val="00943FDD"/>
    <w:rsid w:val="00950A7C"/>
    <w:rsid w:val="00952840"/>
    <w:rsid w:val="00954C80"/>
    <w:rsid w:val="00955160"/>
    <w:rsid w:val="00956373"/>
    <w:rsid w:val="0095688A"/>
    <w:rsid w:val="00957D03"/>
    <w:rsid w:val="00960C35"/>
    <w:rsid w:val="00965271"/>
    <w:rsid w:val="00967FD8"/>
    <w:rsid w:val="0097002D"/>
    <w:rsid w:val="00970451"/>
    <w:rsid w:val="0097078F"/>
    <w:rsid w:val="00970F48"/>
    <w:rsid w:val="00971DD4"/>
    <w:rsid w:val="009731AC"/>
    <w:rsid w:val="0097355F"/>
    <w:rsid w:val="00973E64"/>
    <w:rsid w:val="00975160"/>
    <w:rsid w:val="009762E7"/>
    <w:rsid w:val="0097709E"/>
    <w:rsid w:val="009773F2"/>
    <w:rsid w:val="00980E69"/>
    <w:rsid w:val="00982A9B"/>
    <w:rsid w:val="00991ABD"/>
    <w:rsid w:val="009945BB"/>
    <w:rsid w:val="0099499D"/>
    <w:rsid w:val="00995948"/>
    <w:rsid w:val="009A0F11"/>
    <w:rsid w:val="009A2C6B"/>
    <w:rsid w:val="009A30D5"/>
    <w:rsid w:val="009A379D"/>
    <w:rsid w:val="009A4F7D"/>
    <w:rsid w:val="009A64B7"/>
    <w:rsid w:val="009A77B8"/>
    <w:rsid w:val="009A7C7F"/>
    <w:rsid w:val="009B0C84"/>
    <w:rsid w:val="009B20AA"/>
    <w:rsid w:val="009B3D1E"/>
    <w:rsid w:val="009B4F29"/>
    <w:rsid w:val="009B5762"/>
    <w:rsid w:val="009B6B7C"/>
    <w:rsid w:val="009B7020"/>
    <w:rsid w:val="009C0AB4"/>
    <w:rsid w:val="009C0E6A"/>
    <w:rsid w:val="009C2BBC"/>
    <w:rsid w:val="009C54E1"/>
    <w:rsid w:val="009C6D9B"/>
    <w:rsid w:val="009C7209"/>
    <w:rsid w:val="009C7AF4"/>
    <w:rsid w:val="009D0DBF"/>
    <w:rsid w:val="009D3C2A"/>
    <w:rsid w:val="009D3F03"/>
    <w:rsid w:val="009D6415"/>
    <w:rsid w:val="009D6758"/>
    <w:rsid w:val="009E10B8"/>
    <w:rsid w:val="009E3446"/>
    <w:rsid w:val="009E4AC8"/>
    <w:rsid w:val="009F365A"/>
    <w:rsid w:val="009F435C"/>
    <w:rsid w:val="009F4425"/>
    <w:rsid w:val="009F61DE"/>
    <w:rsid w:val="009F7078"/>
    <w:rsid w:val="009F736A"/>
    <w:rsid w:val="009F77B5"/>
    <w:rsid w:val="00A00979"/>
    <w:rsid w:val="00A01E6A"/>
    <w:rsid w:val="00A022E9"/>
    <w:rsid w:val="00A02D34"/>
    <w:rsid w:val="00A0369A"/>
    <w:rsid w:val="00A05431"/>
    <w:rsid w:val="00A06CA1"/>
    <w:rsid w:val="00A1202A"/>
    <w:rsid w:val="00A14950"/>
    <w:rsid w:val="00A15E00"/>
    <w:rsid w:val="00A16604"/>
    <w:rsid w:val="00A1774A"/>
    <w:rsid w:val="00A17CDD"/>
    <w:rsid w:val="00A24B66"/>
    <w:rsid w:val="00A263D6"/>
    <w:rsid w:val="00A27750"/>
    <w:rsid w:val="00A32673"/>
    <w:rsid w:val="00A32980"/>
    <w:rsid w:val="00A33050"/>
    <w:rsid w:val="00A360AC"/>
    <w:rsid w:val="00A376A2"/>
    <w:rsid w:val="00A41A66"/>
    <w:rsid w:val="00A4748C"/>
    <w:rsid w:val="00A507E6"/>
    <w:rsid w:val="00A513D8"/>
    <w:rsid w:val="00A5357B"/>
    <w:rsid w:val="00A551A2"/>
    <w:rsid w:val="00A56A9E"/>
    <w:rsid w:val="00A57286"/>
    <w:rsid w:val="00A60DE3"/>
    <w:rsid w:val="00A61B26"/>
    <w:rsid w:val="00A64281"/>
    <w:rsid w:val="00A6429E"/>
    <w:rsid w:val="00A65285"/>
    <w:rsid w:val="00A6756A"/>
    <w:rsid w:val="00A703B0"/>
    <w:rsid w:val="00A70F60"/>
    <w:rsid w:val="00A71DA5"/>
    <w:rsid w:val="00A72292"/>
    <w:rsid w:val="00A7271D"/>
    <w:rsid w:val="00A72A99"/>
    <w:rsid w:val="00A74224"/>
    <w:rsid w:val="00A74A7D"/>
    <w:rsid w:val="00A76AAD"/>
    <w:rsid w:val="00A82486"/>
    <w:rsid w:val="00A836F8"/>
    <w:rsid w:val="00A84617"/>
    <w:rsid w:val="00A909EA"/>
    <w:rsid w:val="00A949ED"/>
    <w:rsid w:val="00A972FB"/>
    <w:rsid w:val="00AA0BA8"/>
    <w:rsid w:val="00AA23EB"/>
    <w:rsid w:val="00AA37EA"/>
    <w:rsid w:val="00AA3EB6"/>
    <w:rsid w:val="00AB2DB6"/>
    <w:rsid w:val="00AB4483"/>
    <w:rsid w:val="00AB4CD9"/>
    <w:rsid w:val="00AB4F74"/>
    <w:rsid w:val="00AB5682"/>
    <w:rsid w:val="00AB5972"/>
    <w:rsid w:val="00AB7AAB"/>
    <w:rsid w:val="00AC0F57"/>
    <w:rsid w:val="00AC351C"/>
    <w:rsid w:val="00AC4EA6"/>
    <w:rsid w:val="00AC5F35"/>
    <w:rsid w:val="00AC6A7D"/>
    <w:rsid w:val="00AD18EE"/>
    <w:rsid w:val="00AD229D"/>
    <w:rsid w:val="00AD3512"/>
    <w:rsid w:val="00AD4DFB"/>
    <w:rsid w:val="00AD6849"/>
    <w:rsid w:val="00AD757C"/>
    <w:rsid w:val="00AE3080"/>
    <w:rsid w:val="00AE64BA"/>
    <w:rsid w:val="00AE7FEB"/>
    <w:rsid w:val="00AF01F3"/>
    <w:rsid w:val="00AF1D8C"/>
    <w:rsid w:val="00AF29D6"/>
    <w:rsid w:val="00AF62B9"/>
    <w:rsid w:val="00AF6953"/>
    <w:rsid w:val="00AF6EC0"/>
    <w:rsid w:val="00B00613"/>
    <w:rsid w:val="00B023EF"/>
    <w:rsid w:val="00B0277A"/>
    <w:rsid w:val="00B03CBF"/>
    <w:rsid w:val="00B053C4"/>
    <w:rsid w:val="00B05ACF"/>
    <w:rsid w:val="00B06DA6"/>
    <w:rsid w:val="00B102C9"/>
    <w:rsid w:val="00B104A6"/>
    <w:rsid w:val="00B10EA7"/>
    <w:rsid w:val="00B17F3C"/>
    <w:rsid w:val="00B2062D"/>
    <w:rsid w:val="00B2150F"/>
    <w:rsid w:val="00B237ED"/>
    <w:rsid w:val="00B24171"/>
    <w:rsid w:val="00B269AE"/>
    <w:rsid w:val="00B330D8"/>
    <w:rsid w:val="00B34AC0"/>
    <w:rsid w:val="00B3610D"/>
    <w:rsid w:val="00B37AE9"/>
    <w:rsid w:val="00B4105C"/>
    <w:rsid w:val="00B42FE0"/>
    <w:rsid w:val="00B4449E"/>
    <w:rsid w:val="00B45A73"/>
    <w:rsid w:val="00B45D7F"/>
    <w:rsid w:val="00B47E3F"/>
    <w:rsid w:val="00B50E72"/>
    <w:rsid w:val="00B5172B"/>
    <w:rsid w:val="00B51A12"/>
    <w:rsid w:val="00B51EFB"/>
    <w:rsid w:val="00B573CB"/>
    <w:rsid w:val="00B605B6"/>
    <w:rsid w:val="00B61244"/>
    <w:rsid w:val="00B61FDB"/>
    <w:rsid w:val="00B62227"/>
    <w:rsid w:val="00B62827"/>
    <w:rsid w:val="00B637A3"/>
    <w:rsid w:val="00B65357"/>
    <w:rsid w:val="00B66172"/>
    <w:rsid w:val="00B66437"/>
    <w:rsid w:val="00B66BAC"/>
    <w:rsid w:val="00B66D5A"/>
    <w:rsid w:val="00B70AAA"/>
    <w:rsid w:val="00B73202"/>
    <w:rsid w:val="00B73B80"/>
    <w:rsid w:val="00B752AB"/>
    <w:rsid w:val="00B75941"/>
    <w:rsid w:val="00B8112B"/>
    <w:rsid w:val="00B81226"/>
    <w:rsid w:val="00B83A65"/>
    <w:rsid w:val="00B85602"/>
    <w:rsid w:val="00B86369"/>
    <w:rsid w:val="00B86409"/>
    <w:rsid w:val="00B87673"/>
    <w:rsid w:val="00B904EA"/>
    <w:rsid w:val="00B94080"/>
    <w:rsid w:val="00B95A0E"/>
    <w:rsid w:val="00BA12B9"/>
    <w:rsid w:val="00BA1999"/>
    <w:rsid w:val="00BA22C2"/>
    <w:rsid w:val="00BA3502"/>
    <w:rsid w:val="00BA387B"/>
    <w:rsid w:val="00BA3D44"/>
    <w:rsid w:val="00BA54BA"/>
    <w:rsid w:val="00BA6158"/>
    <w:rsid w:val="00BA65A8"/>
    <w:rsid w:val="00BB1319"/>
    <w:rsid w:val="00BB4DB6"/>
    <w:rsid w:val="00BB56D4"/>
    <w:rsid w:val="00BB5BA1"/>
    <w:rsid w:val="00BB6386"/>
    <w:rsid w:val="00BC0B93"/>
    <w:rsid w:val="00BC19BA"/>
    <w:rsid w:val="00BC307B"/>
    <w:rsid w:val="00BC3C8C"/>
    <w:rsid w:val="00BD41DA"/>
    <w:rsid w:val="00BD472B"/>
    <w:rsid w:val="00BD5504"/>
    <w:rsid w:val="00BD6499"/>
    <w:rsid w:val="00BD6D05"/>
    <w:rsid w:val="00BE093B"/>
    <w:rsid w:val="00BE0E10"/>
    <w:rsid w:val="00BE2FEC"/>
    <w:rsid w:val="00BE6676"/>
    <w:rsid w:val="00BE66A9"/>
    <w:rsid w:val="00BE7839"/>
    <w:rsid w:val="00BF02E2"/>
    <w:rsid w:val="00BF060F"/>
    <w:rsid w:val="00BF09A7"/>
    <w:rsid w:val="00BF1CC1"/>
    <w:rsid w:val="00BF3113"/>
    <w:rsid w:val="00BF3567"/>
    <w:rsid w:val="00BF49D9"/>
    <w:rsid w:val="00BF4D8B"/>
    <w:rsid w:val="00BF6800"/>
    <w:rsid w:val="00BF69B5"/>
    <w:rsid w:val="00BF757C"/>
    <w:rsid w:val="00BF7BE3"/>
    <w:rsid w:val="00C0079F"/>
    <w:rsid w:val="00C01D22"/>
    <w:rsid w:val="00C047FC"/>
    <w:rsid w:val="00C054C2"/>
    <w:rsid w:val="00C10732"/>
    <w:rsid w:val="00C108E1"/>
    <w:rsid w:val="00C1139A"/>
    <w:rsid w:val="00C14008"/>
    <w:rsid w:val="00C1485B"/>
    <w:rsid w:val="00C15219"/>
    <w:rsid w:val="00C15C8B"/>
    <w:rsid w:val="00C178CB"/>
    <w:rsid w:val="00C20F49"/>
    <w:rsid w:val="00C220DE"/>
    <w:rsid w:val="00C226EE"/>
    <w:rsid w:val="00C233C9"/>
    <w:rsid w:val="00C25181"/>
    <w:rsid w:val="00C27CF2"/>
    <w:rsid w:val="00C310B0"/>
    <w:rsid w:val="00C3177A"/>
    <w:rsid w:val="00C3588E"/>
    <w:rsid w:val="00C3744A"/>
    <w:rsid w:val="00C41D52"/>
    <w:rsid w:val="00C429E2"/>
    <w:rsid w:val="00C45845"/>
    <w:rsid w:val="00C46AD1"/>
    <w:rsid w:val="00C50F05"/>
    <w:rsid w:val="00C526F6"/>
    <w:rsid w:val="00C5307F"/>
    <w:rsid w:val="00C532D7"/>
    <w:rsid w:val="00C555E7"/>
    <w:rsid w:val="00C559D4"/>
    <w:rsid w:val="00C56820"/>
    <w:rsid w:val="00C572FD"/>
    <w:rsid w:val="00C57864"/>
    <w:rsid w:val="00C61BF4"/>
    <w:rsid w:val="00C62B1C"/>
    <w:rsid w:val="00C62E63"/>
    <w:rsid w:val="00C6449C"/>
    <w:rsid w:val="00C64602"/>
    <w:rsid w:val="00C7174B"/>
    <w:rsid w:val="00C7475B"/>
    <w:rsid w:val="00C74D0C"/>
    <w:rsid w:val="00C76719"/>
    <w:rsid w:val="00C76A97"/>
    <w:rsid w:val="00C80E0A"/>
    <w:rsid w:val="00C812B5"/>
    <w:rsid w:val="00C8188D"/>
    <w:rsid w:val="00C82FFD"/>
    <w:rsid w:val="00C86E96"/>
    <w:rsid w:val="00C90124"/>
    <w:rsid w:val="00C909B9"/>
    <w:rsid w:val="00C925F2"/>
    <w:rsid w:val="00C9387E"/>
    <w:rsid w:val="00C93CCE"/>
    <w:rsid w:val="00C95918"/>
    <w:rsid w:val="00C971F6"/>
    <w:rsid w:val="00C97FAF"/>
    <w:rsid w:val="00CA0CA9"/>
    <w:rsid w:val="00CA296B"/>
    <w:rsid w:val="00CA32A8"/>
    <w:rsid w:val="00CA3BC7"/>
    <w:rsid w:val="00CA3C37"/>
    <w:rsid w:val="00CA4A74"/>
    <w:rsid w:val="00CA5026"/>
    <w:rsid w:val="00CA54D7"/>
    <w:rsid w:val="00CA77CA"/>
    <w:rsid w:val="00CB20AF"/>
    <w:rsid w:val="00CB4C7F"/>
    <w:rsid w:val="00CB4D7C"/>
    <w:rsid w:val="00CB7B88"/>
    <w:rsid w:val="00CC0055"/>
    <w:rsid w:val="00CC0937"/>
    <w:rsid w:val="00CC2226"/>
    <w:rsid w:val="00CC3E06"/>
    <w:rsid w:val="00CC435F"/>
    <w:rsid w:val="00CC4619"/>
    <w:rsid w:val="00CC5CCA"/>
    <w:rsid w:val="00CC6050"/>
    <w:rsid w:val="00CC6A0E"/>
    <w:rsid w:val="00CC6E9C"/>
    <w:rsid w:val="00CD0383"/>
    <w:rsid w:val="00CD458B"/>
    <w:rsid w:val="00CD5F1A"/>
    <w:rsid w:val="00CE1578"/>
    <w:rsid w:val="00CE45B0"/>
    <w:rsid w:val="00CE489B"/>
    <w:rsid w:val="00CE7E9C"/>
    <w:rsid w:val="00CF0B65"/>
    <w:rsid w:val="00CF25C0"/>
    <w:rsid w:val="00CF37B4"/>
    <w:rsid w:val="00CF4D33"/>
    <w:rsid w:val="00CF5C4A"/>
    <w:rsid w:val="00CF7037"/>
    <w:rsid w:val="00D02607"/>
    <w:rsid w:val="00D03051"/>
    <w:rsid w:val="00D039B2"/>
    <w:rsid w:val="00D05A16"/>
    <w:rsid w:val="00D072E8"/>
    <w:rsid w:val="00D12BE0"/>
    <w:rsid w:val="00D13A6A"/>
    <w:rsid w:val="00D142A8"/>
    <w:rsid w:val="00D142F1"/>
    <w:rsid w:val="00D14EB5"/>
    <w:rsid w:val="00D21F03"/>
    <w:rsid w:val="00D2336C"/>
    <w:rsid w:val="00D27475"/>
    <w:rsid w:val="00D27566"/>
    <w:rsid w:val="00D3360C"/>
    <w:rsid w:val="00D33838"/>
    <w:rsid w:val="00D34D63"/>
    <w:rsid w:val="00D40505"/>
    <w:rsid w:val="00D410E6"/>
    <w:rsid w:val="00D4260C"/>
    <w:rsid w:val="00D501A9"/>
    <w:rsid w:val="00D504C5"/>
    <w:rsid w:val="00D51276"/>
    <w:rsid w:val="00D52DD2"/>
    <w:rsid w:val="00D56461"/>
    <w:rsid w:val="00D64898"/>
    <w:rsid w:val="00D64D5B"/>
    <w:rsid w:val="00D64E14"/>
    <w:rsid w:val="00D665E1"/>
    <w:rsid w:val="00D66B3E"/>
    <w:rsid w:val="00D6794D"/>
    <w:rsid w:val="00D703AE"/>
    <w:rsid w:val="00D77730"/>
    <w:rsid w:val="00D779ED"/>
    <w:rsid w:val="00D84758"/>
    <w:rsid w:val="00D850F5"/>
    <w:rsid w:val="00D85C51"/>
    <w:rsid w:val="00D85F51"/>
    <w:rsid w:val="00D92311"/>
    <w:rsid w:val="00D92EB5"/>
    <w:rsid w:val="00D93031"/>
    <w:rsid w:val="00D932DF"/>
    <w:rsid w:val="00D93E07"/>
    <w:rsid w:val="00D96334"/>
    <w:rsid w:val="00DA31E5"/>
    <w:rsid w:val="00DA4236"/>
    <w:rsid w:val="00DA5A51"/>
    <w:rsid w:val="00DA606D"/>
    <w:rsid w:val="00DA6460"/>
    <w:rsid w:val="00DB0086"/>
    <w:rsid w:val="00DB43D9"/>
    <w:rsid w:val="00DC2968"/>
    <w:rsid w:val="00DC3559"/>
    <w:rsid w:val="00DC4B87"/>
    <w:rsid w:val="00DC50B0"/>
    <w:rsid w:val="00DC529C"/>
    <w:rsid w:val="00DC794C"/>
    <w:rsid w:val="00DD020D"/>
    <w:rsid w:val="00DD294E"/>
    <w:rsid w:val="00DE0605"/>
    <w:rsid w:val="00DE0D35"/>
    <w:rsid w:val="00DE1138"/>
    <w:rsid w:val="00DE1FAC"/>
    <w:rsid w:val="00DE3A5F"/>
    <w:rsid w:val="00DE4627"/>
    <w:rsid w:val="00DE6175"/>
    <w:rsid w:val="00DF0DCA"/>
    <w:rsid w:val="00DF2477"/>
    <w:rsid w:val="00DF32C8"/>
    <w:rsid w:val="00DF46A6"/>
    <w:rsid w:val="00DF4CC1"/>
    <w:rsid w:val="00DF66E6"/>
    <w:rsid w:val="00E03AD8"/>
    <w:rsid w:val="00E05A0A"/>
    <w:rsid w:val="00E0611E"/>
    <w:rsid w:val="00E11355"/>
    <w:rsid w:val="00E1261D"/>
    <w:rsid w:val="00E13A94"/>
    <w:rsid w:val="00E140BC"/>
    <w:rsid w:val="00E14F62"/>
    <w:rsid w:val="00E1672B"/>
    <w:rsid w:val="00E16892"/>
    <w:rsid w:val="00E21171"/>
    <w:rsid w:val="00E23666"/>
    <w:rsid w:val="00E25F30"/>
    <w:rsid w:val="00E30EBF"/>
    <w:rsid w:val="00E3187C"/>
    <w:rsid w:val="00E31CA4"/>
    <w:rsid w:val="00E4218B"/>
    <w:rsid w:val="00E43198"/>
    <w:rsid w:val="00E45299"/>
    <w:rsid w:val="00E5441B"/>
    <w:rsid w:val="00E569C1"/>
    <w:rsid w:val="00E620CF"/>
    <w:rsid w:val="00E6263B"/>
    <w:rsid w:val="00E637B4"/>
    <w:rsid w:val="00E63C88"/>
    <w:rsid w:val="00E80080"/>
    <w:rsid w:val="00E81970"/>
    <w:rsid w:val="00E81F0D"/>
    <w:rsid w:val="00E85439"/>
    <w:rsid w:val="00E8630E"/>
    <w:rsid w:val="00E92B2F"/>
    <w:rsid w:val="00E933B1"/>
    <w:rsid w:val="00E974C5"/>
    <w:rsid w:val="00EA020E"/>
    <w:rsid w:val="00EA0666"/>
    <w:rsid w:val="00EA1DB9"/>
    <w:rsid w:val="00EA3285"/>
    <w:rsid w:val="00EA633A"/>
    <w:rsid w:val="00EA680B"/>
    <w:rsid w:val="00EA6ED0"/>
    <w:rsid w:val="00EB0DDE"/>
    <w:rsid w:val="00EB16E1"/>
    <w:rsid w:val="00EB1F8E"/>
    <w:rsid w:val="00EB3389"/>
    <w:rsid w:val="00EB370B"/>
    <w:rsid w:val="00EB5C7C"/>
    <w:rsid w:val="00EB7244"/>
    <w:rsid w:val="00EB7DF0"/>
    <w:rsid w:val="00EC014C"/>
    <w:rsid w:val="00EC0F66"/>
    <w:rsid w:val="00EC2B23"/>
    <w:rsid w:val="00EC3349"/>
    <w:rsid w:val="00ED1C26"/>
    <w:rsid w:val="00ED252D"/>
    <w:rsid w:val="00ED45F6"/>
    <w:rsid w:val="00ED6557"/>
    <w:rsid w:val="00EE06D2"/>
    <w:rsid w:val="00EE0812"/>
    <w:rsid w:val="00EE0A2D"/>
    <w:rsid w:val="00EE114E"/>
    <w:rsid w:val="00EE1FAA"/>
    <w:rsid w:val="00EE30CB"/>
    <w:rsid w:val="00EE3C46"/>
    <w:rsid w:val="00EE4367"/>
    <w:rsid w:val="00EE724B"/>
    <w:rsid w:val="00EE768D"/>
    <w:rsid w:val="00EF0911"/>
    <w:rsid w:val="00EF1A55"/>
    <w:rsid w:val="00EF26E5"/>
    <w:rsid w:val="00EF2C96"/>
    <w:rsid w:val="00EF38B5"/>
    <w:rsid w:val="00EF4AA3"/>
    <w:rsid w:val="00EF4C7B"/>
    <w:rsid w:val="00EF5C56"/>
    <w:rsid w:val="00EF6040"/>
    <w:rsid w:val="00EF6E0B"/>
    <w:rsid w:val="00EF70C9"/>
    <w:rsid w:val="00F00835"/>
    <w:rsid w:val="00F0425C"/>
    <w:rsid w:val="00F079E8"/>
    <w:rsid w:val="00F10E62"/>
    <w:rsid w:val="00F11936"/>
    <w:rsid w:val="00F11B76"/>
    <w:rsid w:val="00F12FAE"/>
    <w:rsid w:val="00F149B7"/>
    <w:rsid w:val="00F170FF"/>
    <w:rsid w:val="00F20C70"/>
    <w:rsid w:val="00F23E57"/>
    <w:rsid w:val="00F2517B"/>
    <w:rsid w:val="00F265E1"/>
    <w:rsid w:val="00F27C0C"/>
    <w:rsid w:val="00F31050"/>
    <w:rsid w:val="00F3244A"/>
    <w:rsid w:val="00F34E66"/>
    <w:rsid w:val="00F353FE"/>
    <w:rsid w:val="00F379AD"/>
    <w:rsid w:val="00F41D6C"/>
    <w:rsid w:val="00F420F9"/>
    <w:rsid w:val="00F441A2"/>
    <w:rsid w:val="00F46758"/>
    <w:rsid w:val="00F47E7C"/>
    <w:rsid w:val="00F5143A"/>
    <w:rsid w:val="00F52D55"/>
    <w:rsid w:val="00F545B7"/>
    <w:rsid w:val="00F569F9"/>
    <w:rsid w:val="00F62F76"/>
    <w:rsid w:val="00F63D37"/>
    <w:rsid w:val="00F66A5B"/>
    <w:rsid w:val="00F67405"/>
    <w:rsid w:val="00F72050"/>
    <w:rsid w:val="00F72CC2"/>
    <w:rsid w:val="00F808CD"/>
    <w:rsid w:val="00F8202F"/>
    <w:rsid w:val="00F86C3B"/>
    <w:rsid w:val="00F90E80"/>
    <w:rsid w:val="00F96A75"/>
    <w:rsid w:val="00F97113"/>
    <w:rsid w:val="00FA05C7"/>
    <w:rsid w:val="00FA266C"/>
    <w:rsid w:val="00FA280F"/>
    <w:rsid w:val="00FB1CA1"/>
    <w:rsid w:val="00FB2095"/>
    <w:rsid w:val="00FB2E1E"/>
    <w:rsid w:val="00FB4AA9"/>
    <w:rsid w:val="00FB6C4D"/>
    <w:rsid w:val="00FB7024"/>
    <w:rsid w:val="00FB7708"/>
    <w:rsid w:val="00FB7CFD"/>
    <w:rsid w:val="00FC0402"/>
    <w:rsid w:val="00FC0814"/>
    <w:rsid w:val="00FC19B4"/>
    <w:rsid w:val="00FC36AA"/>
    <w:rsid w:val="00FC3A9A"/>
    <w:rsid w:val="00FC4FD1"/>
    <w:rsid w:val="00FC6366"/>
    <w:rsid w:val="00FC71BB"/>
    <w:rsid w:val="00FD10AA"/>
    <w:rsid w:val="00FD270A"/>
    <w:rsid w:val="00FD3147"/>
    <w:rsid w:val="00FD4227"/>
    <w:rsid w:val="00FD613D"/>
    <w:rsid w:val="00FD62DE"/>
    <w:rsid w:val="00FE253D"/>
    <w:rsid w:val="00FE2C9F"/>
    <w:rsid w:val="00FE503D"/>
    <w:rsid w:val="00FE5449"/>
    <w:rsid w:val="00FE55A5"/>
    <w:rsid w:val="00FE62DF"/>
    <w:rsid w:val="00FE6C83"/>
    <w:rsid w:val="00FF1B01"/>
    <w:rsid w:val="00FF351B"/>
    <w:rsid w:val="00FF72D0"/>
    <w:rsid w:val="00FF733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F49DA-CDCE-446B-B3C9-C60001198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829EC"/>
  </w:style>
  <w:style w:type="paragraph" w:styleId="BalloonText">
    <w:name w:val="Balloon Text"/>
    <w:basedOn w:val="Normal"/>
    <w:link w:val="BalloonTextChar"/>
    <w:uiPriority w:val="99"/>
    <w:semiHidden/>
    <w:unhideWhenUsed/>
    <w:rsid w:val="00FB4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AA9"/>
    <w:rPr>
      <w:rFonts w:ascii="Tahoma" w:hAnsi="Tahoma" w:cs="Tahoma"/>
      <w:sz w:val="16"/>
      <w:szCs w:val="16"/>
    </w:rPr>
  </w:style>
  <w:style w:type="paragraph" w:styleId="Caption">
    <w:name w:val="caption"/>
    <w:basedOn w:val="Normal"/>
    <w:next w:val="Normal"/>
    <w:uiPriority w:val="35"/>
    <w:unhideWhenUsed/>
    <w:qFormat/>
    <w:rsid w:val="007B63B7"/>
    <w:pPr>
      <w:spacing w:line="240" w:lineRule="auto"/>
    </w:pPr>
    <w:rPr>
      <w:b/>
      <w:bCs/>
      <w:color w:val="4F81BD" w:themeColor="accent1"/>
      <w:sz w:val="18"/>
      <w:szCs w:val="18"/>
    </w:rPr>
  </w:style>
  <w:style w:type="paragraph" w:styleId="ListParagraph">
    <w:name w:val="List Paragraph"/>
    <w:basedOn w:val="Normal"/>
    <w:uiPriority w:val="34"/>
    <w:qFormat/>
    <w:rsid w:val="00FB7024"/>
    <w:pPr>
      <w:ind w:left="720"/>
      <w:contextualSpacing/>
    </w:pPr>
  </w:style>
  <w:style w:type="character" w:styleId="Hyperlink">
    <w:name w:val="Hyperlink"/>
    <w:basedOn w:val="DefaultParagraphFont"/>
    <w:uiPriority w:val="99"/>
    <w:unhideWhenUsed/>
    <w:rsid w:val="00C45845"/>
    <w:rPr>
      <w:color w:val="0000FF" w:themeColor="hyperlink"/>
      <w:u w:val="single"/>
    </w:rPr>
  </w:style>
  <w:style w:type="table" w:styleId="TableGrid">
    <w:name w:val="Table Grid"/>
    <w:basedOn w:val="TableNormal"/>
    <w:uiPriority w:val="59"/>
    <w:rsid w:val="00EE1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1210"/>
    <w:rPr>
      <w:sz w:val="16"/>
      <w:szCs w:val="16"/>
    </w:rPr>
  </w:style>
  <w:style w:type="paragraph" w:styleId="CommentText">
    <w:name w:val="annotation text"/>
    <w:basedOn w:val="Normal"/>
    <w:link w:val="CommentTextChar"/>
    <w:uiPriority w:val="99"/>
    <w:semiHidden/>
    <w:unhideWhenUsed/>
    <w:rsid w:val="00411210"/>
    <w:pPr>
      <w:spacing w:line="240" w:lineRule="auto"/>
    </w:pPr>
    <w:rPr>
      <w:sz w:val="20"/>
      <w:szCs w:val="20"/>
    </w:rPr>
  </w:style>
  <w:style w:type="character" w:customStyle="1" w:styleId="CommentTextChar">
    <w:name w:val="Comment Text Char"/>
    <w:basedOn w:val="DefaultParagraphFont"/>
    <w:link w:val="CommentText"/>
    <w:uiPriority w:val="99"/>
    <w:semiHidden/>
    <w:rsid w:val="00411210"/>
    <w:rPr>
      <w:sz w:val="20"/>
      <w:szCs w:val="20"/>
    </w:rPr>
  </w:style>
  <w:style w:type="paragraph" w:styleId="CommentSubject">
    <w:name w:val="annotation subject"/>
    <w:basedOn w:val="CommentText"/>
    <w:next w:val="CommentText"/>
    <w:link w:val="CommentSubjectChar"/>
    <w:uiPriority w:val="99"/>
    <w:semiHidden/>
    <w:unhideWhenUsed/>
    <w:rsid w:val="00411210"/>
    <w:rPr>
      <w:b/>
      <w:bCs/>
    </w:rPr>
  </w:style>
  <w:style w:type="character" w:customStyle="1" w:styleId="CommentSubjectChar">
    <w:name w:val="Comment Subject Char"/>
    <w:basedOn w:val="CommentTextChar"/>
    <w:link w:val="CommentSubject"/>
    <w:uiPriority w:val="99"/>
    <w:semiHidden/>
    <w:rsid w:val="00411210"/>
    <w:rPr>
      <w:b/>
      <w:bCs/>
      <w:sz w:val="20"/>
      <w:szCs w:val="20"/>
    </w:rPr>
  </w:style>
  <w:style w:type="paragraph" w:styleId="TableofFigures">
    <w:name w:val="table of figures"/>
    <w:basedOn w:val="Normal"/>
    <w:next w:val="Normal"/>
    <w:uiPriority w:val="99"/>
    <w:unhideWhenUsed/>
    <w:rsid w:val="001D5FD5"/>
    <w:pPr>
      <w:spacing w:after="0"/>
    </w:pPr>
  </w:style>
  <w:style w:type="paragraph" w:styleId="NormalWeb">
    <w:name w:val="Normal (Web)"/>
    <w:basedOn w:val="Normal"/>
    <w:uiPriority w:val="99"/>
    <w:semiHidden/>
    <w:unhideWhenUsed/>
    <w:rsid w:val="00D27475"/>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jrnl">
    <w:name w:val="jrnl"/>
    <w:basedOn w:val="DefaultParagraphFont"/>
    <w:rsid w:val="00EB0DDE"/>
  </w:style>
  <w:style w:type="paragraph" w:customStyle="1" w:styleId="desc">
    <w:name w:val="desc"/>
    <w:basedOn w:val="Normal"/>
    <w:rsid w:val="00EB0DDE"/>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paragraph" w:styleId="Revision">
    <w:name w:val="Revision"/>
    <w:hidden/>
    <w:uiPriority w:val="99"/>
    <w:semiHidden/>
    <w:rsid w:val="00792ECF"/>
    <w:pPr>
      <w:spacing w:after="0" w:line="240" w:lineRule="auto"/>
    </w:pPr>
  </w:style>
  <w:style w:type="character" w:styleId="PlaceholderText">
    <w:name w:val="Placeholder Text"/>
    <w:basedOn w:val="DefaultParagraphFont"/>
    <w:uiPriority w:val="99"/>
    <w:semiHidden/>
    <w:rsid w:val="006511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36535">
      <w:bodyDiv w:val="1"/>
      <w:marLeft w:val="0"/>
      <w:marRight w:val="0"/>
      <w:marTop w:val="0"/>
      <w:marBottom w:val="0"/>
      <w:divBdr>
        <w:top w:val="none" w:sz="0" w:space="0" w:color="auto"/>
        <w:left w:val="none" w:sz="0" w:space="0" w:color="auto"/>
        <w:bottom w:val="none" w:sz="0" w:space="0" w:color="auto"/>
        <w:right w:val="none" w:sz="0" w:space="0" w:color="auto"/>
      </w:divBdr>
    </w:div>
    <w:div w:id="317419347">
      <w:bodyDiv w:val="1"/>
      <w:marLeft w:val="0"/>
      <w:marRight w:val="0"/>
      <w:marTop w:val="0"/>
      <w:marBottom w:val="0"/>
      <w:divBdr>
        <w:top w:val="none" w:sz="0" w:space="0" w:color="auto"/>
        <w:left w:val="none" w:sz="0" w:space="0" w:color="auto"/>
        <w:bottom w:val="none" w:sz="0" w:space="0" w:color="auto"/>
        <w:right w:val="none" w:sz="0" w:space="0" w:color="auto"/>
      </w:divBdr>
      <w:divsChild>
        <w:div w:id="1659772490">
          <w:marLeft w:val="0"/>
          <w:marRight w:val="1"/>
          <w:marTop w:val="0"/>
          <w:marBottom w:val="0"/>
          <w:divBdr>
            <w:top w:val="none" w:sz="0" w:space="0" w:color="auto"/>
            <w:left w:val="none" w:sz="0" w:space="0" w:color="auto"/>
            <w:bottom w:val="none" w:sz="0" w:space="0" w:color="auto"/>
            <w:right w:val="none" w:sz="0" w:space="0" w:color="auto"/>
          </w:divBdr>
          <w:divsChild>
            <w:div w:id="2074086497">
              <w:marLeft w:val="0"/>
              <w:marRight w:val="0"/>
              <w:marTop w:val="0"/>
              <w:marBottom w:val="0"/>
              <w:divBdr>
                <w:top w:val="none" w:sz="0" w:space="0" w:color="auto"/>
                <w:left w:val="none" w:sz="0" w:space="0" w:color="auto"/>
                <w:bottom w:val="none" w:sz="0" w:space="0" w:color="auto"/>
                <w:right w:val="none" w:sz="0" w:space="0" w:color="auto"/>
              </w:divBdr>
              <w:divsChild>
                <w:div w:id="1679959713">
                  <w:marLeft w:val="0"/>
                  <w:marRight w:val="1"/>
                  <w:marTop w:val="0"/>
                  <w:marBottom w:val="0"/>
                  <w:divBdr>
                    <w:top w:val="none" w:sz="0" w:space="0" w:color="auto"/>
                    <w:left w:val="none" w:sz="0" w:space="0" w:color="auto"/>
                    <w:bottom w:val="none" w:sz="0" w:space="0" w:color="auto"/>
                    <w:right w:val="none" w:sz="0" w:space="0" w:color="auto"/>
                  </w:divBdr>
                  <w:divsChild>
                    <w:div w:id="1091395930">
                      <w:marLeft w:val="0"/>
                      <w:marRight w:val="0"/>
                      <w:marTop w:val="0"/>
                      <w:marBottom w:val="0"/>
                      <w:divBdr>
                        <w:top w:val="none" w:sz="0" w:space="0" w:color="auto"/>
                        <w:left w:val="none" w:sz="0" w:space="0" w:color="auto"/>
                        <w:bottom w:val="none" w:sz="0" w:space="0" w:color="auto"/>
                        <w:right w:val="none" w:sz="0" w:space="0" w:color="auto"/>
                      </w:divBdr>
                      <w:divsChild>
                        <w:div w:id="509220707">
                          <w:marLeft w:val="0"/>
                          <w:marRight w:val="0"/>
                          <w:marTop w:val="0"/>
                          <w:marBottom w:val="0"/>
                          <w:divBdr>
                            <w:top w:val="none" w:sz="0" w:space="0" w:color="auto"/>
                            <w:left w:val="none" w:sz="0" w:space="0" w:color="auto"/>
                            <w:bottom w:val="none" w:sz="0" w:space="0" w:color="auto"/>
                            <w:right w:val="none" w:sz="0" w:space="0" w:color="auto"/>
                          </w:divBdr>
                          <w:divsChild>
                            <w:div w:id="987706546">
                              <w:marLeft w:val="0"/>
                              <w:marRight w:val="0"/>
                              <w:marTop w:val="120"/>
                              <w:marBottom w:val="360"/>
                              <w:divBdr>
                                <w:top w:val="none" w:sz="0" w:space="0" w:color="auto"/>
                                <w:left w:val="none" w:sz="0" w:space="0" w:color="auto"/>
                                <w:bottom w:val="none" w:sz="0" w:space="0" w:color="auto"/>
                                <w:right w:val="none" w:sz="0" w:space="0" w:color="auto"/>
                              </w:divBdr>
                              <w:divsChild>
                                <w:div w:id="853961754">
                                  <w:marLeft w:val="420"/>
                                  <w:marRight w:val="0"/>
                                  <w:marTop w:val="0"/>
                                  <w:marBottom w:val="0"/>
                                  <w:divBdr>
                                    <w:top w:val="none" w:sz="0" w:space="0" w:color="auto"/>
                                    <w:left w:val="none" w:sz="0" w:space="0" w:color="auto"/>
                                    <w:bottom w:val="none" w:sz="0" w:space="0" w:color="auto"/>
                                    <w:right w:val="none" w:sz="0" w:space="0" w:color="auto"/>
                                  </w:divBdr>
                                  <w:divsChild>
                                    <w:div w:id="23331702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386507">
      <w:bodyDiv w:val="1"/>
      <w:marLeft w:val="0"/>
      <w:marRight w:val="0"/>
      <w:marTop w:val="0"/>
      <w:marBottom w:val="0"/>
      <w:divBdr>
        <w:top w:val="none" w:sz="0" w:space="0" w:color="auto"/>
        <w:left w:val="none" w:sz="0" w:space="0" w:color="auto"/>
        <w:bottom w:val="none" w:sz="0" w:space="0" w:color="auto"/>
        <w:right w:val="none" w:sz="0" w:space="0" w:color="auto"/>
      </w:divBdr>
      <w:divsChild>
        <w:div w:id="222565688">
          <w:marLeft w:val="0"/>
          <w:marRight w:val="1"/>
          <w:marTop w:val="0"/>
          <w:marBottom w:val="0"/>
          <w:divBdr>
            <w:top w:val="none" w:sz="0" w:space="0" w:color="auto"/>
            <w:left w:val="none" w:sz="0" w:space="0" w:color="auto"/>
            <w:bottom w:val="none" w:sz="0" w:space="0" w:color="auto"/>
            <w:right w:val="none" w:sz="0" w:space="0" w:color="auto"/>
          </w:divBdr>
          <w:divsChild>
            <w:div w:id="1318338975">
              <w:marLeft w:val="0"/>
              <w:marRight w:val="0"/>
              <w:marTop w:val="0"/>
              <w:marBottom w:val="0"/>
              <w:divBdr>
                <w:top w:val="none" w:sz="0" w:space="0" w:color="auto"/>
                <w:left w:val="none" w:sz="0" w:space="0" w:color="auto"/>
                <w:bottom w:val="none" w:sz="0" w:space="0" w:color="auto"/>
                <w:right w:val="none" w:sz="0" w:space="0" w:color="auto"/>
              </w:divBdr>
              <w:divsChild>
                <w:div w:id="362561556">
                  <w:marLeft w:val="0"/>
                  <w:marRight w:val="1"/>
                  <w:marTop w:val="0"/>
                  <w:marBottom w:val="0"/>
                  <w:divBdr>
                    <w:top w:val="none" w:sz="0" w:space="0" w:color="auto"/>
                    <w:left w:val="none" w:sz="0" w:space="0" w:color="auto"/>
                    <w:bottom w:val="none" w:sz="0" w:space="0" w:color="auto"/>
                    <w:right w:val="none" w:sz="0" w:space="0" w:color="auto"/>
                  </w:divBdr>
                  <w:divsChild>
                    <w:div w:id="429396253">
                      <w:marLeft w:val="0"/>
                      <w:marRight w:val="0"/>
                      <w:marTop w:val="0"/>
                      <w:marBottom w:val="0"/>
                      <w:divBdr>
                        <w:top w:val="none" w:sz="0" w:space="0" w:color="auto"/>
                        <w:left w:val="none" w:sz="0" w:space="0" w:color="auto"/>
                        <w:bottom w:val="none" w:sz="0" w:space="0" w:color="auto"/>
                        <w:right w:val="none" w:sz="0" w:space="0" w:color="auto"/>
                      </w:divBdr>
                      <w:divsChild>
                        <w:div w:id="1965848241">
                          <w:marLeft w:val="0"/>
                          <w:marRight w:val="0"/>
                          <w:marTop w:val="0"/>
                          <w:marBottom w:val="0"/>
                          <w:divBdr>
                            <w:top w:val="none" w:sz="0" w:space="0" w:color="auto"/>
                            <w:left w:val="none" w:sz="0" w:space="0" w:color="auto"/>
                            <w:bottom w:val="none" w:sz="0" w:space="0" w:color="auto"/>
                            <w:right w:val="none" w:sz="0" w:space="0" w:color="auto"/>
                          </w:divBdr>
                          <w:divsChild>
                            <w:div w:id="1786457107">
                              <w:marLeft w:val="0"/>
                              <w:marRight w:val="0"/>
                              <w:marTop w:val="120"/>
                              <w:marBottom w:val="360"/>
                              <w:divBdr>
                                <w:top w:val="none" w:sz="0" w:space="0" w:color="auto"/>
                                <w:left w:val="none" w:sz="0" w:space="0" w:color="auto"/>
                                <w:bottom w:val="none" w:sz="0" w:space="0" w:color="auto"/>
                                <w:right w:val="none" w:sz="0" w:space="0" w:color="auto"/>
                              </w:divBdr>
                              <w:divsChild>
                                <w:div w:id="126902101">
                                  <w:marLeft w:val="0"/>
                                  <w:marRight w:val="0"/>
                                  <w:marTop w:val="0"/>
                                  <w:marBottom w:val="0"/>
                                  <w:divBdr>
                                    <w:top w:val="none" w:sz="0" w:space="0" w:color="auto"/>
                                    <w:left w:val="none" w:sz="0" w:space="0" w:color="auto"/>
                                    <w:bottom w:val="none" w:sz="0" w:space="0" w:color="auto"/>
                                    <w:right w:val="none" w:sz="0" w:space="0" w:color="auto"/>
                                  </w:divBdr>
                                </w:div>
                                <w:div w:id="295914134">
                                  <w:marLeft w:val="420"/>
                                  <w:marRight w:val="0"/>
                                  <w:marTop w:val="0"/>
                                  <w:marBottom w:val="0"/>
                                  <w:divBdr>
                                    <w:top w:val="none" w:sz="0" w:space="0" w:color="auto"/>
                                    <w:left w:val="none" w:sz="0" w:space="0" w:color="auto"/>
                                    <w:bottom w:val="none" w:sz="0" w:space="0" w:color="auto"/>
                                    <w:right w:val="none" w:sz="0" w:space="0" w:color="auto"/>
                                  </w:divBdr>
                                  <w:divsChild>
                                    <w:div w:id="137102818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4048982">
      <w:bodyDiv w:val="1"/>
      <w:marLeft w:val="0"/>
      <w:marRight w:val="0"/>
      <w:marTop w:val="0"/>
      <w:marBottom w:val="0"/>
      <w:divBdr>
        <w:top w:val="none" w:sz="0" w:space="0" w:color="auto"/>
        <w:left w:val="none" w:sz="0" w:space="0" w:color="auto"/>
        <w:bottom w:val="none" w:sz="0" w:space="0" w:color="auto"/>
        <w:right w:val="none" w:sz="0" w:space="0" w:color="auto"/>
      </w:divBdr>
      <w:divsChild>
        <w:div w:id="1866819392">
          <w:marLeft w:val="0"/>
          <w:marRight w:val="1"/>
          <w:marTop w:val="0"/>
          <w:marBottom w:val="0"/>
          <w:divBdr>
            <w:top w:val="none" w:sz="0" w:space="0" w:color="auto"/>
            <w:left w:val="none" w:sz="0" w:space="0" w:color="auto"/>
            <w:bottom w:val="none" w:sz="0" w:space="0" w:color="auto"/>
            <w:right w:val="none" w:sz="0" w:space="0" w:color="auto"/>
          </w:divBdr>
          <w:divsChild>
            <w:div w:id="2063207301">
              <w:marLeft w:val="0"/>
              <w:marRight w:val="0"/>
              <w:marTop w:val="0"/>
              <w:marBottom w:val="0"/>
              <w:divBdr>
                <w:top w:val="none" w:sz="0" w:space="0" w:color="auto"/>
                <w:left w:val="none" w:sz="0" w:space="0" w:color="auto"/>
                <w:bottom w:val="none" w:sz="0" w:space="0" w:color="auto"/>
                <w:right w:val="none" w:sz="0" w:space="0" w:color="auto"/>
              </w:divBdr>
              <w:divsChild>
                <w:div w:id="969823995">
                  <w:marLeft w:val="0"/>
                  <w:marRight w:val="1"/>
                  <w:marTop w:val="0"/>
                  <w:marBottom w:val="0"/>
                  <w:divBdr>
                    <w:top w:val="none" w:sz="0" w:space="0" w:color="auto"/>
                    <w:left w:val="none" w:sz="0" w:space="0" w:color="auto"/>
                    <w:bottom w:val="none" w:sz="0" w:space="0" w:color="auto"/>
                    <w:right w:val="none" w:sz="0" w:space="0" w:color="auto"/>
                  </w:divBdr>
                  <w:divsChild>
                    <w:div w:id="507327700">
                      <w:marLeft w:val="0"/>
                      <w:marRight w:val="0"/>
                      <w:marTop w:val="0"/>
                      <w:marBottom w:val="0"/>
                      <w:divBdr>
                        <w:top w:val="none" w:sz="0" w:space="0" w:color="auto"/>
                        <w:left w:val="none" w:sz="0" w:space="0" w:color="auto"/>
                        <w:bottom w:val="none" w:sz="0" w:space="0" w:color="auto"/>
                        <w:right w:val="none" w:sz="0" w:space="0" w:color="auto"/>
                      </w:divBdr>
                      <w:divsChild>
                        <w:div w:id="1122071037">
                          <w:marLeft w:val="0"/>
                          <w:marRight w:val="0"/>
                          <w:marTop w:val="0"/>
                          <w:marBottom w:val="0"/>
                          <w:divBdr>
                            <w:top w:val="none" w:sz="0" w:space="0" w:color="auto"/>
                            <w:left w:val="none" w:sz="0" w:space="0" w:color="auto"/>
                            <w:bottom w:val="none" w:sz="0" w:space="0" w:color="auto"/>
                            <w:right w:val="none" w:sz="0" w:space="0" w:color="auto"/>
                          </w:divBdr>
                          <w:divsChild>
                            <w:div w:id="1734113650">
                              <w:marLeft w:val="0"/>
                              <w:marRight w:val="0"/>
                              <w:marTop w:val="120"/>
                              <w:marBottom w:val="360"/>
                              <w:divBdr>
                                <w:top w:val="none" w:sz="0" w:space="0" w:color="auto"/>
                                <w:left w:val="none" w:sz="0" w:space="0" w:color="auto"/>
                                <w:bottom w:val="none" w:sz="0" w:space="0" w:color="auto"/>
                                <w:right w:val="none" w:sz="0" w:space="0" w:color="auto"/>
                              </w:divBdr>
                              <w:divsChild>
                                <w:div w:id="399601077">
                                  <w:marLeft w:val="420"/>
                                  <w:marRight w:val="0"/>
                                  <w:marTop w:val="0"/>
                                  <w:marBottom w:val="0"/>
                                  <w:divBdr>
                                    <w:top w:val="none" w:sz="0" w:space="0" w:color="auto"/>
                                    <w:left w:val="none" w:sz="0" w:space="0" w:color="auto"/>
                                    <w:bottom w:val="none" w:sz="0" w:space="0" w:color="auto"/>
                                    <w:right w:val="none" w:sz="0" w:space="0" w:color="auto"/>
                                  </w:divBdr>
                                  <w:divsChild>
                                    <w:div w:id="67314805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149546">
      <w:bodyDiv w:val="1"/>
      <w:marLeft w:val="0"/>
      <w:marRight w:val="0"/>
      <w:marTop w:val="0"/>
      <w:marBottom w:val="0"/>
      <w:divBdr>
        <w:top w:val="none" w:sz="0" w:space="0" w:color="auto"/>
        <w:left w:val="none" w:sz="0" w:space="0" w:color="auto"/>
        <w:bottom w:val="none" w:sz="0" w:space="0" w:color="auto"/>
        <w:right w:val="none" w:sz="0" w:space="0" w:color="auto"/>
      </w:divBdr>
      <w:divsChild>
        <w:div w:id="575749465">
          <w:marLeft w:val="0"/>
          <w:marRight w:val="1"/>
          <w:marTop w:val="0"/>
          <w:marBottom w:val="0"/>
          <w:divBdr>
            <w:top w:val="none" w:sz="0" w:space="0" w:color="auto"/>
            <w:left w:val="none" w:sz="0" w:space="0" w:color="auto"/>
            <w:bottom w:val="none" w:sz="0" w:space="0" w:color="auto"/>
            <w:right w:val="none" w:sz="0" w:space="0" w:color="auto"/>
          </w:divBdr>
          <w:divsChild>
            <w:div w:id="1181242645">
              <w:marLeft w:val="0"/>
              <w:marRight w:val="0"/>
              <w:marTop w:val="0"/>
              <w:marBottom w:val="0"/>
              <w:divBdr>
                <w:top w:val="none" w:sz="0" w:space="0" w:color="auto"/>
                <w:left w:val="none" w:sz="0" w:space="0" w:color="auto"/>
                <w:bottom w:val="none" w:sz="0" w:space="0" w:color="auto"/>
                <w:right w:val="none" w:sz="0" w:space="0" w:color="auto"/>
              </w:divBdr>
              <w:divsChild>
                <w:div w:id="904800314">
                  <w:marLeft w:val="0"/>
                  <w:marRight w:val="1"/>
                  <w:marTop w:val="0"/>
                  <w:marBottom w:val="0"/>
                  <w:divBdr>
                    <w:top w:val="none" w:sz="0" w:space="0" w:color="auto"/>
                    <w:left w:val="none" w:sz="0" w:space="0" w:color="auto"/>
                    <w:bottom w:val="none" w:sz="0" w:space="0" w:color="auto"/>
                    <w:right w:val="none" w:sz="0" w:space="0" w:color="auto"/>
                  </w:divBdr>
                  <w:divsChild>
                    <w:div w:id="1206137230">
                      <w:marLeft w:val="0"/>
                      <w:marRight w:val="0"/>
                      <w:marTop w:val="0"/>
                      <w:marBottom w:val="0"/>
                      <w:divBdr>
                        <w:top w:val="none" w:sz="0" w:space="0" w:color="auto"/>
                        <w:left w:val="none" w:sz="0" w:space="0" w:color="auto"/>
                        <w:bottom w:val="none" w:sz="0" w:space="0" w:color="auto"/>
                        <w:right w:val="none" w:sz="0" w:space="0" w:color="auto"/>
                      </w:divBdr>
                      <w:divsChild>
                        <w:div w:id="1212037182">
                          <w:marLeft w:val="0"/>
                          <w:marRight w:val="0"/>
                          <w:marTop w:val="0"/>
                          <w:marBottom w:val="0"/>
                          <w:divBdr>
                            <w:top w:val="none" w:sz="0" w:space="0" w:color="auto"/>
                            <w:left w:val="none" w:sz="0" w:space="0" w:color="auto"/>
                            <w:bottom w:val="none" w:sz="0" w:space="0" w:color="auto"/>
                            <w:right w:val="none" w:sz="0" w:space="0" w:color="auto"/>
                          </w:divBdr>
                          <w:divsChild>
                            <w:div w:id="620457306">
                              <w:marLeft w:val="0"/>
                              <w:marRight w:val="0"/>
                              <w:marTop w:val="120"/>
                              <w:marBottom w:val="360"/>
                              <w:divBdr>
                                <w:top w:val="none" w:sz="0" w:space="0" w:color="auto"/>
                                <w:left w:val="none" w:sz="0" w:space="0" w:color="auto"/>
                                <w:bottom w:val="none" w:sz="0" w:space="0" w:color="auto"/>
                                <w:right w:val="none" w:sz="0" w:space="0" w:color="auto"/>
                              </w:divBdr>
                              <w:divsChild>
                                <w:div w:id="1739550326">
                                  <w:marLeft w:val="0"/>
                                  <w:marRight w:val="0"/>
                                  <w:marTop w:val="0"/>
                                  <w:marBottom w:val="0"/>
                                  <w:divBdr>
                                    <w:top w:val="none" w:sz="0" w:space="0" w:color="auto"/>
                                    <w:left w:val="none" w:sz="0" w:space="0" w:color="auto"/>
                                    <w:bottom w:val="none" w:sz="0" w:space="0" w:color="auto"/>
                                    <w:right w:val="none" w:sz="0" w:space="0" w:color="auto"/>
                                  </w:divBdr>
                                </w:div>
                                <w:div w:id="135266582">
                                  <w:marLeft w:val="420"/>
                                  <w:marRight w:val="0"/>
                                  <w:marTop w:val="0"/>
                                  <w:marBottom w:val="0"/>
                                  <w:divBdr>
                                    <w:top w:val="none" w:sz="0" w:space="0" w:color="auto"/>
                                    <w:left w:val="none" w:sz="0" w:space="0" w:color="auto"/>
                                    <w:bottom w:val="none" w:sz="0" w:space="0" w:color="auto"/>
                                    <w:right w:val="none" w:sz="0" w:space="0" w:color="auto"/>
                                  </w:divBdr>
                                  <w:divsChild>
                                    <w:div w:id="124290743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012113">
      <w:bodyDiv w:val="1"/>
      <w:marLeft w:val="0"/>
      <w:marRight w:val="0"/>
      <w:marTop w:val="0"/>
      <w:marBottom w:val="0"/>
      <w:divBdr>
        <w:top w:val="none" w:sz="0" w:space="0" w:color="auto"/>
        <w:left w:val="none" w:sz="0" w:space="0" w:color="auto"/>
        <w:bottom w:val="none" w:sz="0" w:space="0" w:color="auto"/>
        <w:right w:val="none" w:sz="0" w:space="0" w:color="auto"/>
      </w:divBdr>
      <w:divsChild>
        <w:div w:id="1868371852">
          <w:marLeft w:val="0"/>
          <w:marRight w:val="0"/>
          <w:marTop w:val="0"/>
          <w:marBottom w:val="0"/>
          <w:divBdr>
            <w:top w:val="none" w:sz="0" w:space="0" w:color="auto"/>
            <w:left w:val="none" w:sz="0" w:space="0" w:color="auto"/>
            <w:bottom w:val="none" w:sz="0" w:space="0" w:color="auto"/>
            <w:right w:val="none" w:sz="0" w:space="0" w:color="auto"/>
          </w:divBdr>
        </w:div>
        <w:div w:id="1966231926">
          <w:marLeft w:val="0"/>
          <w:marRight w:val="0"/>
          <w:marTop w:val="0"/>
          <w:marBottom w:val="0"/>
          <w:divBdr>
            <w:top w:val="none" w:sz="0" w:space="0" w:color="auto"/>
            <w:left w:val="none" w:sz="0" w:space="0" w:color="auto"/>
            <w:bottom w:val="none" w:sz="0" w:space="0" w:color="auto"/>
            <w:right w:val="none" w:sz="0" w:space="0" w:color="auto"/>
          </w:divBdr>
        </w:div>
      </w:divsChild>
    </w:div>
    <w:div w:id="985663492">
      <w:bodyDiv w:val="1"/>
      <w:marLeft w:val="0"/>
      <w:marRight w:val="0"/>
      <w:marTop w:val="0"/>
      <w:marBottom w:val="0"/>
      <w:divBdr>
        <w:top w:val="none" w:sz="0" w:space="0" w:color="auto"/>
        <w:left w:val="none" w:sz="0" w:space="0" w:color="auto"/>
        <w:bottom w:val="none" w:sz="0" w:space="0" w:color="auto"/>
        <w:right w:val="none" w:sz="0" w:space="0" w:color="auto"/>
      </w:divBdr>
    </w:div>
    <w:div w:id="1418361677">
      <w:bodyDiv w:val="1"/>
      <w:marLeft w:val="0"/>
      <w:marRight w:val="0"/>
      <w:marTop w:val="0"/>
      <w:marBottom w:val="0"/>
      <w:divBdr>
        <w:top w:val="none" w:sz="0" w:space="0" w:color="auto"/>
        <w:left w:val="none" w:sz="0" w:space="0" w:color="auto"/>
        <w:bottom w:val="none" w:sz="0" w:space="0" w:color="auto"/>
        <w:right w:val="none" w:sz="0" w:space="0" w:color="auto"/>
      </w:divBdr>
      <w:divsChild>
        <w:div w:id="641161411">
          <w:marLeft w:val="0"/>
          <w:marRight w:val="1"/>
          <w:marTop w:val="0"/>
          <w:marBottom w:val="0"/>
          <w:divBdr>
            <w:top w:val="none" w:sz="0" w:space="0" w:color="auto"/>
            <w:left w:val="none" w:sz="0" w:space="0" w:color="auto"/>
            <w:bottom w:val="none" w:sz="0" w:space="0" w:color="auto"/>
            <w:right w:val="none" w:sz="0" w:space="0" w:color="auto"/>
          </w:divBdr>
          <w:divsChild>
            <w:div w:id="2057315041">
              <w:marLeft w:val="0"/>
              <w:marRight w:val="0"/>
              <w:marTop w:val="0"/>
              <w:marBottom w:val="0"/>
              <w:divBdr>
                <w:top w:val="none" w:sz="0" w:space="0" w:color="auto"/>
                <w:left w:val="none" w:sz="0" w:space="0" w:color="auto"/>
                <w:bottom w:val="none" w:sz="0" w:space="0" w:color="auto"/>
                <w:right w:val="none" w:sz="0" w:space="0" w:color="auto"/>
              </w:divBdr>
              <w:divsChild>
                <w:div w:id="633102429">
                  <w:marLeft w:val="0"/>
                  <w:marRight w:val="1"/>
                  <w:marTop w:val="0"/>
                  <w:marBottom w:val="0"/>
                  <w:divBdr>
                    <w:top w:val="none" w:sz="0" w:space="0" w:color="auto"/>
                    <w:left w:val="none" w:sz="0" w:space="0" w:color="auto"/>
                    <w:bottom w:val="none" w:sz="0" w:space="0" w:color="auto"/>
                    <w:right w:val="none" w:sz="0" w:space="0" w:color="auto"/>
                  </w:divBdr>
                  <w:divsChild>
                    <w:div w:id="1127972003">
                      <w:marLeft w:val="0"/>
                      <w:marRight w:val="0"/>
                      <w:marTop w:val="0"/>
                      <w:marBottom w:val="0"/>
                      <w:divBdr>
                        <w:top w:val="none" w:sz="0" w:space="0" w:color="auto"/>
                        <w:left w:val="none" w:sz="0" w:space="0" w:color="auto"/>
                        <w:bottom w:val="none" w:sz="0" w:space="0" w:color="auto"/>
                        <w:right w:val="none" w:sz="0" w:space="0" w:color="auto"/>
                      </w:divBdr>
                      <w:divsChild>
                        <w:div w:id="2121754006">
                          <w:marLeft w:val="0"/>
                          <w:marRight w:val="0"/>
                          <w:marTop w:val="0"/>
                          <w:marBottom w:val="0"/>
                          <w:divBdr>
                            <w:top w:val="none" w:sz="0" w:space="0" w:color="auto"/>
                            <w:left w:val="none" w:sz="0" w:space="0" w:color="auto"/>
                            <w:bottom w:val="none" w:sz="0" w:space="0" w:color="auto"/>
                            <w:right w:val="none" w:sz="0" w:space="0" w:color="auto"/>
                          </w:divBdr>
                          <w:divsChild>
                            <w:div w:id="695423625">
                              <w:marLeft w:val="0"/>
                              <w:marRight w:val="0"/>
                              <w:marTop w:val="120"/>
                              <w:marBottom w:val="360"/>
                              <w:divBdr>
                                <w:top w:val="none" w:sz="0" w:space="0" w:color="auto"/>
                                <w:left w:val="none" w:sz="0" w:space="0" w:color="auto"/>
                                <w:bottom w:val="none" w:sz="0" w:space="0" w:color="auto"/>
                                <w:right w:val="none" w:sz="0" w:space="0" w:color="auto"/>
                              </w:divBdr>
                              <w:divsChild>
                                <w:div w:id="220672101">
                                  <w:marLeft w:val="420"/>
                                  <w:marRight w:val="0"/>
                                  <w:marTop w:val="0"/>
                                  <w:marBottom w:val="0"/>
                                  <w:divBdr>
                                    <w:top w:val="none" w:sz="0" w:space="0" w:color="auto"/>
                                    <w:left w:val="none" w:sz="0" w:space="0" w:color="auto"/>
                                    <w:bottom w:val="none" w:sz="0" w:space="0" w:color="auto"/>
                                    <w:right w:val="none" w:sz="0" w:space="0" w:color="auto"/>
                                  </w:divBdr>
                                  <w:divsChild>
                                    <w:div w:id="211806439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948695">
      <w:bodyDiv w:val="1"/>
      <w:marLeft w:val="0"/>
      <w:marRight w:val="0"/>
      <w:marTop w:val="0"/>
      <w:marBottom w:val="0"/>
      <w:divBdr>
        <w:top w:val="none" w:sz="0" w:space="0" w:color="auto"/>
        <w:left w:val="none" w:sz="0" w:space="0" w:color="auto"/>
        <w:bottom w:val="none" w:sz="0" w:space="0" w:color="auto"/>
        <w:right w:val="none" w:sz="0" w:space="0" w:color="auto"/>
      </w:divBdr>
    </w:div>
    <w:div w:id="1551765092">
      <w:bodyDiv w:val="1"/>
      <w:marLeft w:val="0"/>
      <w:marRight w:val="0"/>
      <w:marTop w:val="0"/>
      <w:marBottom w:val="0"/>
      <w:divBdr>
        <w:top w:val="none" w:sz="0" w:space="0" w:color="auto"/>
        <w:left w:val="none" w:sz="0" w:space="0" w:color="auto"/>
        <w:bottom w:val="none" w:sz="0" w:space="0" w:color="auto"/>
        <w:right w:val="none" w:sz="0" w:space="0" w:color="auto"/>
      </w:divBdr>
    </w:div>
    <w:div w:id="1672442463">
      <w:bodyDiv w:val="1"/>
      <w:marLeft w:val="0"/>
      <w:marRight w:val="0"/>
      <w:marTop w:val="0"/>
      <w:marBottom w:val="0"/>
      <w:divBdr>
        <w:top w:val="none" w:sz="0" w:space="0" w:color="auto"/>
        <w:left w:val="none" w:sz="0" w:space="0" w:color="auto"/>
        <w:bottom w:val="none" w:sz="0" w:space="0" w:color="auto"/>
        <w:right w:val="none" w:sz="0" w:space="0" w:color="auto"/>
      </w:divBdr>
      <w:divsChild>
        <w:div w:id="1327250188">
          <w:marLeft w:val="0"/>
          <w:marRight w:val="1"/>
          <w:marTop w:val="0"/>
          <w:marBottom w:val="0"/>
          <w:divBdr>
            <w:top w:val="none" w:sz="0" w:space="0" w:color="auto"/>
            <w:left w:val="none" w:sz="0" w:space="0" w:color="auto"/>
            <w:bottom w:val="none" w:sz="0" w:space="0" w:color="auto"/>
            <w:right w:val="none" w:sz="0" w:space="0" w:color="auto"/>
          </w:divBdr>
          <w:divsChild>
            <w:div w:id="6947996">
              <w:marLeft w:val="0"/>
              <w:marRight w:val="0"/>
              <w:marTop w:val="0"/>
              <w:marBottom w:val="0"/>
              <w:divBdr>
                <w:top w:val="none" w:sz="0" w:space="0" w:color="auto"/>
                <w:left w:val="none" w:sz="0" w:space="0" w:color="auto"/>
                <w:bottom w:val="none" w:sz="0" w:space="0" w:color="auto"/>
                <w:right w:val="none" w:sz="0" w:space="0" w:color="auto"/>
              </w:divBdr>
              <w:divsChild>
                <w:div w:id="1630014048">
                  <w:marLeft w:val="0"/>
                  <w:marRight w:val="1"/>
                  <w:marTop w:val="0"/>
                  <w:marBottom w:val="0"/>
                  <w:divBdr>
                    <w:top w:val="none" w:sz="0" w:space="0" w:color="auto"/>
                    <w:left w:val="none" w:sz="0" w:space="0" w:color="auto"/>
                    <w:bottom w:val="none" w:sz="0" w:space="0" w:color="auto"/>
                    <w:right w:val="none" w:sz="0" w:space="0" w:color="auto"/>
                  </w:divBdr>
                  <w:divsChild>
                    <w:div w:id="1739790023">
                      <w:marLeft w:val="0"/>
                      <w:marRight w:val="0"/>
                      <w:marTop w:val="0"/>
                      <w:marBottom w:val="0"/>
                      <w:divBdr>
                        <w:top w:val="none" w:sz="0" w:space="0" w:color="auto"/>
                        <w:left w:val="none" w:sz="0" w:space="0" w:color="auto"/>
                        <w:bottom w:val="none" w:sz="0" w:space="0" w:color="auto"/>
                        <w:right w:val="none" w:sz="0" w:space="0" w:color="auto"/>
                      </w:divBdr>
                      <w:divsChild>
                        <w:div w:id="683553114">
                          <w:marLeft w:val="0"/>
                          <w:marRight w:val="0"/>
                          <w:marTop w:val="0"/>
                          <w:marBottom w:val="0"/>
                          <w:divBdr>
                            <w:top w:val="none" w:sz="0" w:space="0" w:color="auto"/>
                            <w:left w:val="none" w:sz="0" w:space="0" w:color="auto"/>
                            <w:bottom w:val="none" w:sz="0" w:space="0" w:color="auto"/>
                            <w:right w:val="none" w:sz="0" w:space="0" w:color="auto"/>
                          </w:divBdr>
                          <w:divsChild>
                            <w:div w:id="862207375">
                              <w:marLeft w:val="0"/>
                              <w:marRight w:val="0"/>
                              <w:marTop w:val="120"/>
                              <w:marBottom w:val="360"/>
                              <w:divBdr>
                                <w:top w:val="none" w:sz="0" w:space="0" w:color="auto"/>
                                <w:left w:val="none" w:sz="0" w:space="0" w:color="auto"/>
                                <w:bottom w:val="none" w:sz="0" w:space="0" w:color="auto"/>
                                <w:right w:val="none" w:sz="0" w:space="0" w:color="auto"/>
                              </w:divBdr>
                              <w:divsChild>
                                <w:div w:id="1981302817">
                                  <w:marLeft w:val="0"/>
                                  <w:marRight w:val="0"/>
                                  <w:marTop w:val="0"/>
                                  <w:marBottom w:val="0"/>
                                  <w:divBdr>
                                    <w:top w:val="none" w:sz="0" w:space="0" w:color="auto"/>
                                    <w:left w:val="none" w:sz="0" w:space="0" w:color="auto"/>
                                    <w:bottom w:val="none" w:sz="0" w:space="0" w:color="auto"/>
                                    <w:right w:val="none" w:sz="0" w:space="0" w:color="auto"/>
                                  </w:divBdr>
                                </w:div>
                                <w:div w:id="1837039967">
                                  <w:marLeft w:val="420"/>
                                  <w:marRight w:val="0"/>
                                  <w:marTop w:val="0"/>
                                  <w:marBottom w:val="0"/>
                                  <w:divBdr>
                                    <w:top w:val="none" w:sz="0" w:space="0" w:color="auto"/>
                                    <w:left w:val="none" w:sz="0" w:space="0" w:color="auto"/>
                                    <w:bottom w:val="none" w:sz="0" w:space="0" w:color="auto"/>
                                    <w:right w:val="none" w:sz="0" w:space="0" w:color="auto"/>
                                  </w:divBdr>
                                  <w:divsChild>
                                    <w:div w:id="88706225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16553-819B-4E11-AEC2-04A4CBEE5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Dundee</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 Sciences Workstation Administrator</dc:creator>
  <cp:lastModifiedBy>David Gray</cp:lastModifiedBy>
  <cp:revision>5</cp:revision>
  <cp:lastPrinted>2015-03-04T08:45:00Z</cp:lastPrinted>
  <dcterms:created xsi:type="dcterms:W3CDTF">2015-09-01T07:15:00Z</dcterms:created>
  <dcterms:modified xsi:type="dcterms:W3CDTF">2015-09-02T10:23:00Z</dcterms:modified>
</cp:coreProperties>
</file>