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4809"/>
        <w:gridCol w:w="985"/>
        <w:gridCol w:w="985"/>
        <w:gridCol w:w="936"/>
      </w:tblGrid>
      <w:tr w:rsidR="001047DB" w:rsidTr="001047DB">
        <w:tc>
          <w:tcPr>
            <w:tcW w:w="1301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Phases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(Date)</w:t>
            </w:r>
          </w:p>
        </w:tc>
        <w:tc>
          <w:tcPr>
            <w:tcW w:w="4809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Description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Area A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Area B</w:t>
            </w:r>
          </w:p>
        </w:tc>
        <w:tc>
          <w:tcPr>
            <w:tcW w:w="936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Area C</w:t>
            </w:r>
          </w:p>
        </w:tc>
      </w:tr>
      <w:tr w:rsidR="001047DB" w:rsidTr="001047DB">
        <w:tc>
          <w:tcPr>
            <w:tcW w:w="1301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Phase 1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(7/5/2011 -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13/6/2011)</w:t>
            </w:r>
          </w:p>
        </w:tc>
        <w:tc>
          <w:tcPr>
            <w:tcW w:w="4809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Rangefinder - Area A and B received equal release rates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2,800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2,800</w:t>
            </w:r>
          </w:p>
        </w:tc>
        <w:tc>
          <w:tcPr>
            <w:tcW w:w="936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0</w:t>
            </w:r>
          </w:p>
        </w:tc>
      </w:tr>
      <w:tr w:rsidR="001047DB" w:rsidTr="001047DB">
        <w:tc>
          <w:tcPr>
            <w:tcW w:w="1301" w:type="dxa"/>
          </w:tcPr>
          <w:p w:rsidR="001047DB" w:rsidRDefault="001047DB" w:rsidP="004A1121">
            <w:pPr>
              <w:spacing w:line="360" w:lineRule="auto"/>
              <w:jc w:val="both"/>
            </w:pPr>
            <w:r w:rsidRPr="00EE1932">
              <w:t>Phase</w:t>
            </w:r>
            <w:r>
              <w:t xml:space="preserve"> 2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(1/7/2011 - 11/2/2012)</w:t>
            </w:r>
          </w:p>
        </w:tc>
        <w:tc>
          <w:tcPr>
            <w:tcW w:w="4809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Initial Suppression Phase – Area A and B received equal release rates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23,000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23,000</w:t>
            </w:r>
          </w:p>
        </w:tc>
        <w:tc>
          <w:tcPr>
            <w:tcW w:w="936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0</w:t>
            </w:r>
          </w:p>
        </w:tc>
      </w:tr>
      <w:tr w:rsidR="001047DB" w:rsidTr="001047DB">
        <w:tc>
          <w:tcPr>
            <w:tcW w:w="1301" w:type="dxa"/>
          </w:tcPr>
          <w:p w:rsidR="001047DB" w:rsidRDefault="001047DB" w:rsidP="004A1121">
            <w:pPr>
              <w:spacing w:line="360" w:lineRule="auto"/>
              <w:jc w:val="both"/>
            </w:pPr>
            <w:r w:rsidRPr="00EE1932">
              <w:t>Phase</w:t>
            </w:r>
            <w:r>
              <w:t xml:space="preserve"> 3 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(11/2/2012-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14/7/2012)</w:t>
            </w:r>
          </w:p>
        </w:tc>
        <w:tc>
          <w:tcPr>
            <w:tcW w:w="4809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Targeted Suppression Phase – Treatment was suspended in area B, with all releases concentrated in area A. Total number released increased by 41%, resulting in 177% increase in release rate in area A.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63,600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36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0</w:t>
            </w:r>
          </w:p>
        </w:tc>
      </w:tr>
      <w:tr w:rsidR="001047DB" w:rsidTr="001047DB">
        <w:tc>
          <w:tcPr>
            <w:tcW w:w="1301" w:type="dxa"/>
          </w:tcPr>
          <w:p w:rsidR="001047DB" w:rsidRDefault="001047DB" w:rsidP="004A1121">
            <w:pPr>
              <w:spacing w:line="360" w:lineRule="auto"/>
              <w:jc w:val="both"/>
            </w:pPr>
            <w:r w:rsidRPr="00EE1932">
              <w:t>Phase</w:t>
            </w:r>
            <w:r>
              <w:t xml:space="preserve"> 4</w:t>
            </w:r>
          </w:p>
          <w:p w:rsidR="001047DB" w:rsidRDefault="001047DB" w:rsidP="004A1121">
            <w:pPr>
              <w:spacing w:line="360" w:lineRule="auto"/>
              <w:jc w:val="both"/>
            </w:pPr>
            <w:r>
              <w:t>(14/7/2012-30/9/2012)</w:t>
            </w:r>
          </w:p>
        </w:tc>
        <w:tc>
          <w:tcPr>
            <w:tcW w:w="4809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 xml:space="preserve">Maintenance Phase – Having achieved substantial suppression in Areas A and B, release rates were reduced approximately 10 fold in area A relative to average release rates in Phase 3. At same time release were resumed in area B at same rate as used in area A. We sought to maintain relatively constant maintenance released rate in area A and B. To achieve this, target production was set higher and spare capacity from OX513A mass rearing facility was released in Area C, to form a buffer for re-infestation. It was the intention to maintain this for a prolonged period, however, this was curtailed as primary objective of study to demonstrating suppression had been met, and OX513A production was required for another study to be reported elsewhere. 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6,200</w:t>
            </w:r>
          </w:p>
        </w:tc>
        <w:tc>
          <w:tcPr>
            <w:tcW w:w="985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6,200</w:t>
            </w:r>
          </w:p>
        </w:tc>
        <w:tc>
          <w:tcPr>
            <w:tcW w:w="936" w:type="dxa"/>
          </w:tcPr>
          <w:p w:rsidR="001047DB" w:rsidRDefault="001047DB" w:rsidP="004A1121">
            <w:pPr>
              <w:spacing w:line="360" w:lineRule="auto"/>
              <w:jc w:val="both"/>
            </w:pPr>
            <w:r>
              <w:t>11,500</w:t>
            </w:r>
          </w:p>
        </w:tc>
      </w:tr>
    </w:tbl>
    <w:p w:rsidR="00F5045E" w:rsidRDefault="00F5045E">
      <w:bookmarkStart w:id="0" w:name="_GoBack"/>
      <w:bookmarkEnd w:id="0"/>
    </w:p>
    <w:sectPr w:rsidR="00F5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B"/>
    <w:rsid w:val="001047DB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2716-5C53-4C92-BDEE-E0771AD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D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McKemey</dc:creator>
  <cp:keywords/>
  <dc:description/>
  <cp:lastModifiedBy>Andrew McKemey</cp:lastModifiedBy>
  <cp:revision>1</cp:revision>
  <dcterms:created xsi:type="dcterms:W3CDTF">2015-04-21T18:16:00Z</dcterms:created>
  <dcterms:modified xsi:type="dcterms:W3CDTF">2015-04-21T18:17:00Z</dcterms:modified>
</cp:coreProperties>
</file>