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E63" w:rsidRDefault="00075E63" w:rsidP="00A97A0D">
      <w:pPr>
        <w:jc w:val="center"/>
        <w:rPr>
          <w:rFonts w:cs="Arial"/>
          <w:b/>
        </w:rPr>
      </w:pPr>
      <w:r>
        <w:rPr>
          <w:rFonts w:cs="Arial"/>
          <w:b/>
        </w:rPr>
        <w:t>Supplementary material</w:t>
      </w:r>
    </w:p>
    <w:p w:rsidR="00075E63" w:rsidRDefault="00075E63" w:rsidP="00A97A0D">
      <w:pPr>
        <w:jc w:val="center"/>
        <w:rPr>
          <w:rFonts w:cs="Arial"/>
          <w:b/>
        </w:rPr>
      </w:pPr>
    </w:p>
    <w:p w:rsidR="006E68E9" w:rsidRPr="00A97A0D" w:rsidRDefault="006E68E9" w:rsidP="00A97A0D">
      <w:pPr>
        <w:jc w:val="center"/>
        <w:rPr>
          <w:rFonts w:cs="Arial"/>
          <w:b/>
        </w:rPr>
      </w:pPr>
      <w:r w:rsidRPr="00A97A0D">
        <w:rPr>
          <w:rFonts w:cs="Arial"/>
          <w:b/>
        </w:rPr>
        <w:t xml:space="preserve">S1.  Simulating </w:t>
      </w:r>
      <w:r w:rsidR="0003110A" w:rsidRPr="00A97A0D">
        <w:rPr>
          <w:rFonts w:cs="Arial"/>
          <w:b/>
        </w:rPr>
        <w:t xml:space="preserve">the </w:t>
      </w:r>
      <w:r w:rsidRPr="00A97A0D">
        <w:rPr>
          <w:rFonts w:cs="Arial"/>
          <w:b/>
        </w:rPr>
        <w:t>control of tsetse populations using Tsetse Muse</w:t>
      </w:r>
    </w:p>
    <w:p w:rsidR="007A3BC3" w:rsidRPr="00A97A0D" w:rsidRDefault="007A3BC3" w:rsidP="00A97A0D">
      <w:pPr>
        <w:rPr>
          <w:lang w:val="en-AU"/>
        </w:rPr>
      </w:pPr>
      <w:r w:rsidRPr="00A97A0D">
        <w:rPr>
          <w:lang w:val="en-AU"/>
        </w:rPr>
        <w:t xml:space="preserve">The Tsetse Muse model used in the present paper is described by [1] and can be downloaded for inspection and use at </w:t>
      </w:r>
      <w:hyperlink r:id="rId6" w:history="1">
        <w:r w:rsidR="00075E63" w:rsidRPr="008E206D">
          <w:rPr>
            <w:rStyle w:val="Hyperlink"/>
            <w:lang w:val="en-AU"/>
          </w:rPr>
          <w:t>www.tsetse.org</w:t>
        </w:r>
      </w:hyperlink>
      <w:r w:rsidR="00075E63">
        <w:rPr>
          <w:lang w:val="en-AU"/>
        </w:rPr>
        <w:t xml:space="preserve">.    </w:t>
      </w:r>
      <w:r w:rsidRPr="00A97A0D">
        <w:rPr>
          <w:lang w:val="en-AU"/>
        </w:rPr>
        <w:t>Those aspects of the model related to present simulations of non-isolated populati</w:t>
      </w:r>
      <w:r w:rsidR="002E4A77">
        <w:rPr>
          <w:lang w:val="en-AU"/>
        </w:rPr>
        <w:t>ons are summarised below and in</w:t>
      </w:r>
      <w:r w:rsidR="00BE70B1">
        <w:rPr>
          <w:lang w:val="en-AU"/>
        </w:rPr>
        <w:t xml:space="preserve"> </w:t>
      </w:r>
      <w:r w:rsidR="00290262">
        <w:rPr>
          <w:lang w:val="en-AU"/>
        </w:rPr>
        <w:t>Table A</w:t>
      </w:r>
      <w:r w:rsidRPr="00A97A0D">
        <w:rPr>
          <w:lang w:val="en-AU"/>
        </w:rPr>
        <w:t>. Simulations of isolated populations were the same except that it was not necessary to envisage separate segments of habitat between which flies could move.</w:t>
      </w:r>
    </w:p>
    <w:p w:rsidR="007A3BC3" w:rsidRPr="00A97A0D" w:rsidRDefault="007A3BC3" w:rsidP="00A97A0D">
      <w:pPr>
        <w:spacing w:after="0"/>
        <w:rPr>
          <w:b/>
          <w:lang w:val="en-AU"/>
        </w:rPr>
      </w:pPr>
      <w:r w:rsidRPr="00A97A0D">
        <w:rPr>
          <w:b/>
          <w:lang w:val="en-AU"/>
        </w:rPr>
        <w:t>Population</w:t>
      </w:r>
    </w:p>
    <w:p w:rsidR="007A3BC3" w:rsidRPr="00A97A0D" w:rsidRDefault="007A3BC3" w:rsidP="00A97A0D">
      <w:pPr>
        <w:rPr>
          <w:lang w:val="en-AU"/>
        </w:rPr>
      </w:pPr>
      <w:r w:rsidRPr="00A97A0D">
        <w:rPr>
          <w:lang w:val="en-AU"/>
        </w:rPr>
        <w:t>The adult tsetse population before intervention was stable at carrying capacity, comprising 2500 adult males and 5000 adult females per km</w:t>
      </w:r>
      <w:r w:rsidRPr="00A97A0D">
        <w:rPr>
          <w:vertAlign w:val="superscript"/>
          <w:lang w:val="en-AU"/>
        </w:rPr>
        <w:t>2</w:t>
      </w:r>
      <w:r w:rsidRPr="00A97A0D">
        <w:rPr>
          <w:lang w:val="en-AU"/>
        </w:rPr>
        <w:t xml:space="preserve"> of habitat [2], and was considered to occupy a strip of uniformly good habitat 60km long, in which the numbers in each 1km long segment were recorded each day. The total population of each segment was separated into pupae and adults of each sex. Adult females comprised virgins and mated individuals that started their larval cycle at the normal time, and also females mated too late to join the first larval cycle and so were waiting to join the next available cycle. Each component of the population in each segment of habitat was tracked deterministically in its own life table produced in a Microsoft Excel spreadsheet. For convenience, all flies were considered to occur at the centre of the segment they occupied, and the lifespan of adults was limited to 89 days for males and 178 for females, according with the evidence [3] that females live about twice as long as males. In each cell of each table the Excel formulae performed the following procedures to cater for movement, death and development as each fly became a day older.</w:t>
      </w:r>
    </w:p>
    <w:p w:rsidR="007A3BC3" w:rsidRPr="00A97A0D" w:rsidRDefault="007A3BC3" w:rsidP="00A97A0D">
      <w:pPr>
        <w:spacing w:after="0"/>
        <w:rPr>
          <w:b/>
          <w:lang w:val="en-AU"/>
        </w:rPr>
      </w:pPr>
      <w:r w:rsidRPr="00A97A0D">
        <w:rPr>
          <w:b/>
          <w:lang w:val="en-AU"/>
        </w:rPr>
        <w:t>Movement</w:t>
      </w:r>
    </w:p>
    <w:p w:rsidR="007A3BC3" w:rsidRPr="00A97A0D" w:rsidRDefault="007A3BC3" w:rsidP="00A97A0D">
      <w:pPr>
        <w:rPr>
          <w:lang w:val="en-AU"/>
        </w:rPr>
      </w:pPr>
      <w:r w:rsidRPr="00A97A0D">
        <w:rPr>
          <w:lang w:val="en-AU"/>
        </w:rPr>
        <w:t xml:space="preserve">A certain proportion of the adult flies in </w:t>
      </w:r>
      <w:r w:rsidR="00E4743B" w:rsidRPr="00A97A0D">
        <w:rPr>
          <w:lang w:val="en-AU"/>
        </w:rPr>
        <w:t xml:space="preserve">the life table of </w:t>
      </w:r>
      <w:r w:rsidRPr="00A97A0D">
        <w:rPr>
          <w:lang w:val="en-AU"/>
        </w:rPr>
        <w:t>each segment of habitat transferred to the life table</w:t>
      </w:r>
      <w:r w:rsidR="00835D1A" w:rsidRPr="00A97A0D">
        <w:rPr>
          <w:lang w:val="en-AU"/>
        </w:rPr>
        <w:t>s</w:t>
      </w:r>
      <w:r w:rsidRPr="00A97A0D">
        <w:rPr>
          <w:lang w:val="en-AU"/>
        </w:rPr>
        <w:t xml:space="preserve"> of the adjacent segment</w:t>
      </w:r>
      <w:r w:rsidR="00835D1A" w:rsidRPr="00A97A0D">
        <w:rPr>
          <w:lang w:val="en-AU"/>
        </w:rPr>
        <w:t>s</w:t>
      </w:r>
      <w:r w:rsidRPr="00A97A0D">
        <w:rPr>
          <w:lang w:val="en-AU"/>
        </w:rPr>
        <w:t>, to give the required rate of average daily displacement. The rate of movement was age-dependent, to accord with the fact that flight musculature takes a week or so to develop [4], and that wings become badly damaged in very old flies [5]. For males the average displacement was 100m on the first day of adult life, increasing linearly to 300m/day at age 10 days. This rate was maintained until age 25 days and then declined linearly to 200m/day at maximum age. For females the rates were the same except that the 300m/day maximum lasted longer, from age 10-50 days, and the subsequent decline to 200m/day at maximum age was slower since the maximum age was greater. These rates of movement are consistent with field data [6]</w:t>
      </w:r>
    </w:p>
    <w:p w:rsidR="007A3BC3" w:rsidRPr="00A97A0D" w:rsidRDefault="007A3BC3" w:rsidP="00A97A0D">
      <w:pPr>
        <w:spacing w:after="0"/>
        <w:rPr>
          <w:b/>
          <w:lang w:val="en-AU"/>
        </w:rPr>
      </w:pPr>
      <w:r w:rsidRPr="00A97A0D">
        <w:rPr>
          <w:b/>
          <w:lang w:val="en-AU"/>
        </w:rPr>
        <w:t>Deaths</w:t>
      </w:r>
    </w:p>
    <w:p w:rsidR="007A3BC3" w:rsidRPr="00A97A0D" w:rsidRDefault="007A3BC3" w:rsidP="00A97A0D">
      <w:pPr>
        <w:rPr>
          <w:lang w:val="en-AU"/>
        </w:rPr>
      </w:pPr>
      <w:proofErr w:type="gramStart"/>
      <w:r w:rsidRPr="00A97A0D">
        <w:rPr>
          <w:lang w:val="en-AU"/>
        </w:rPr>
        <w:t>Tsetse occurring in each cell after daily movement were</w:t>
      </w:r>
      <w:proofErr w:type="gramEnd"/>
      <w:r w:rsidRPr="00A97A0D">
        <w:rPr>
          <w:lang w:val="en-AU"/>
        </w:rPr>
        <w:t xml:space="preserve"> subject to deaths. Natural death rates of adults were age dependent, and greater for females than for males [2]. In contrast to previous applications of the model [1,7,8], in the present application we simplified the inputs by assuming that natural death rates did not vary between adjacent segments of habitat, but rather allowed that all segments were equally and highly hospitable. This assumption ensured a conservative estimate of the impact of targets. The natural rates for each sex were high on the first day of life. Thereafter the rates declined linearly to be minimal at age 10 days, at which time the rate as a proportion of the initial rate was a fifth for males and a tenth for females. Subsequently, the rates increased linearly to </w:t>
      </w:r>
      <w:r w:rsidRPr="00A97A0D">
        <w:rPr>
          <w:lang w:val="en-AU"/>
        </w:rPr>
        <w:lastRenderedPageBreak/>
        <w:t>be treble the initial rate at maximum age and were 1.00 when the maximum lifespan was exceeded. Although natural deaths of pupae and eggs/larvae were considered to occur each day it was simplest to apply all daily deaths due per period at the start of the pupal period or the end of the larval period, since the age structure of the pupal and uterine populations was irrelevant.</w:t>
      </w:r>
    </w:p>
    <w:p w:rsidR="007A3BC3" w:rsidRPr="00A97A0D" w:rsidRDefault="007A3BC3" w:rsidP="00A97A0D">
      <w:pPr>
        <w:rPr>
          <w:lang w:val="en-AU"/>
        </w:rPr>
      </w:pPr>
      <w:r w:rsidRPr="00A97A0D">
        <w:rPr>
          <w:lang w:val="en-AU"/>
        </w:rPr>
        <w:t xml:space="preserve">All natural death rates of adults, pupae </w:t>
      </w:r>
      <w:proofErr w:type="gramStart"/>
      <w:r w:rsidRPr="00A97A0D">
        <w:rPr>
          <w:lang w:val="en-AU"/>
        </w:rPr>
        <w:t>and  eggs</w:t>
      </w:r>
      <w:proofErr w:type="gramEnd"/>
      <w:r w:rsidRPr="00A97A0D">
        <w:rPr>
          <w:lang w:val="en-AU"/>
        </w:rPr>
        <w:t>/larvae were density dependent, consistent with field evidence for the density dependence of rates of parasitism and predation [9] and feeding success [10]. It was assumed that with a reduction in density the death rates declined linearly to a minimum of three-quarters of the stable rate at 10% of stable density. For adults and eggs/larvae of either sex the reference density was the total density of adult males and females. For pupae it was the total live pupae of either sex.</w:t>
      </w:r>
    </w:p>
    <w:p w:rsidR="007A3BC3" w:rsidRPr="00A97A0D" w:rsidRDefault="007A3BC3" w:rsidP="00A97A0D">
      <w:pPr>
        <w:rPr>
          <w:lang w:val="en-AU"/>
        </w:rPr>
      </w:pPr>
      <w:r w:rsidRPr="00A97A0D">
        <w:rPr>
          <w:lang w:val="en-AU"/>
        </w:rPr>
        <w:t>Adult death rates due to targets were assumed to be the same for each sex and age class and were imposed, in those segments of habitat that contained targets, on adults that survived natural death. The percentage was varied but often set at 4%, the theoretical minimum that will lead to the elimination of a tsetse population [3</w:t>
      </w:r>
      <w:proofErr w:type="gramStart"/>
      <w:r w:rsidRPr="00A97A0D">
        <w:rPr>
          <w:lang w:val="en-AU"/>
        </w:rPr>
        <w:t>,11</w:t>
      </w:r>
      <w:proofErr w:type="gramEnd"/>
      <w:r w:rsidRPr="00A97A0D">
        <w:rPr>
          <w:lang w:val="en-AU"/>
        </w:rPr>
        <w:t>].</w:t>
      </w:r>
    </w:p>
    <w:p w:rsidR="007A3BC3" w:rsidRPr="00A97A0D" w:rsidRDefault="007A3BC3" w:rsidP="00A97A0D">
      <w:pPr>
        <w:spacing w:after="0"/>
        <w:rPr>
          <w:b/>
          <w:lang w:val="en-AU"/>
        </w:rPr>
      </w:pPr>
      <w:r w:rsidRPr="00A97A0D">
        <w:rPr>
          <w:b/>
          <w:lang w:val="en-AU"/>
        </w:rPr>
        <w:t>Development and reproduction</w:t>
      </w:r>
    </w:p>
    <w:p w:rsidR="007A3BC3" w:rsidRPr="00A97A0D" w:rsidRDefault="007A3BC3" w:rsidP="00A97A0D">
      <w:pPr>
        <w:rPr>
          <w:lang w:val="en-AU"/>
        </w:rPr>
      </w:pPr>
      <w:r w:rsidRPr="00A97A0D">
        <w:rPr>
          <w:lang w:val="en-AU"/>
        </w:rPr>
        <w:t>Rates of development of pupae and the timing of the first and subsequent larval periods were for temperatures of 25</w:t>
      </w:r>
      <w:r w:rsidRPr="00A97A0D">
        <w:rPr>
          <w:vertAlign w:val="superscript"/>
          <w:lang w:val="en-AU"/>
        </w:rPr>
        <w:t>o</w:t>
      </w:r>
      <w:r w:rsidRPr="00A97A0D">
        <w:rPr>
          <w:lang w:val="en-AU"/>
        </w:rPr>
        <w:t>C [3</w:t>
      </w:r>
      <w:proofErr w:type="gramStart"/>
      <w:r w:rsidRPr="00A97A0D">
        <w:rPr>
          <w:lang w:val="en-AU"/>
        </w:rPr>
        <w:t>,12</w:t>
      </w:r>
      <w:proofErr w:type="gramEnd"/>
      <w:r w:rsidRPr="00A97A0D">
        <w:rPr>
          <w:lang w:val="en-AU"/>
        </w:rPr>
        <w:t>]. Transfer of flies from pupae to new adults, the passage of adults to sexually maturity, and any mating, occurred at the start of each day before movement and deaths. Transfer of larvae to pupae was performed at the end of the day, after deaths. The daily probability of a mature virgin female mating with a mature male, when the density of such males is 1/ km</w:t>
      </w:r>
      <w:r w:rsidRPr="00A97A0D">
        <w:rPr>
          <w:vertAlign w:val="superscript"/>
          <w:lang w:val="en-AU"/>
        </w:rPr>
        <w:t>2</w:t>
      </w:r>
      <w:r w:rsidRPr="00A97A0D">
        <w:rPr>
          <w:lang w:val="en-AU"/>
        </w:rPr>
        <w:t>, was taken as 0.1, associated with daily probability of not mating of 1-0.1 = 0.9. Hence, the actual daily probability (</w:t>
      </w:r>
      <w:r w:rsidRPr="00A97A0D">
        <w:rPr>
          <w:i/>
          <w:lang w:val="en-AU"/>
        </w:rPr>
        <w:t>q</w:t>
      </w:r>
      <w:r w:rsidRPr="00A97A0D">
        <w:rPr>
          <w:lang w:val="en-AU"/>
        </w:rPr>
        <w:t>) that a mature virgin female in any segment of habitat would not mate was 0.9</w:t>
      </w:r>
      <w:r w:rsidRPr="00A97A0D">
        <w:rPr>
          <w:i/>
          <w:vertAlign w:val="superscript"/>
          <w:lang w:val="en-AU"/>
        </w:rPr>
        <w:t>a</w:t>
      </w:r>
      <w:r w:rsidRPr="00A97A0D">
        <w:rPr>
          <w:lang w:val="en-AU"/>
        </w:rPr>
        <w:t xml:space="preserve">, where </w:t>
      </w:r>
      <w:proofErr w:type="gramStart"/>
      <w:r w:rsidRPr="00A97A0D">
        <w:rPr>
          <w:i/>
          <w:lang w:val="en-AU"/>
        </w:rPr>
        <w:t>a</w:t>
      </w:r>
      <w:r w:rsidRPr="00A97A0D">
        <w:rPr>
          <w:lang w:val="en-AU"/>
        </w:rPr>
        <w:t xml:space="preserve"> is</w:t>
      </w:r>
      <w:proofErr w:type="gramEnd"/>
      <w:r w:rsidRPr="00A97A0D">
        <w:rPr>
          <w:lang w:val="en-AU"/>
        </w:rPr>
        <w:t xml:space="preserve"> the actual density of mature males per km</w:t>
      </w:r>
      <w:r w:rsidRPr="00A97A0D">
        <w:rPr>
          <w:vertAlign w:val="superscript"/>
          <w:lang w:val="en-AU"/>
        </w:rPr>
        <w:t>2</w:t>
      </w:r>
      <w:r w:rsidRPr="00A97A0D">
        <w:rPr>
          <w:lang w:val="en-AU"/>
        </w:rPr>
        <w:t xml:space="preserve"> within the segment of habitat. The actual probability that the mature virgin female would mate was 1-</w:t>
      </w:r>
      <w:r w:rsidRPr="00A97A0D">
        <w:rPr>
          <w:i/>
          <w:lang w:val="en-AU"/>
        </w:rPr>
        <w:t>q</w:t>
      </w:r>
      <w:r w:rsidRPr="00A97A0D">
        <w:rPr>
          <w:lang w:val="en-AU"/>
        </w:rPr>
        <w:t>.</w:t>
      </w:r>
    </w:p>
    <w:p w:rsidR="007A3BC3" w:rsidRPr="00A97A0D" w:rsidRDefault="007A3BC3" w:rsidP="00A97A0D">
      <w:pPr>
        <w:spacing w:after="0"/>
        <w:rPr>
          <w:b/>
          <w:lang w:val="en-AU"/>
        </w:rPr>
      </w:pPr>
      <w:r w:rsidRPr="00A97A0D">
        <w:rPr>
          <w:b/>
          <w:lang w:val="en-AU"/>
        </w:rPr>
        <w:t>Management of calculations</w:t>
      </w:r>
    </w:p>
    <w:p w:rsidR="007A3BC3" w:rsidRPr="00A97A0D" w:rsidRDefault="007A3BC3" w:rsidP="00A97A0D">
      <w:pPr>
        <w:rPr>
          <w:lang w:val="en-AU"/>
        </w:rPr>
      </w:pPr>
      <w:r w:rsidRPr="00A97A0D">
        <w:rPr>
          <w:lang w:val="en-AU"/>
        </w:rPr>
        <w:t xml:space="preserve">The procedures of the model were managed by Visual Basic for Applications. The initial tasks were to establish the actual death rates of adults of each sex on the first day of life, from which all other death rates of all age classes of each sex could be deduced from the adopted pattern of age-dependent deaths, above. These tasks were performed by Excel's Solver facility which was programmed first to find the death rate of adult females needed to produce a stable female population when males were assumed sufficiently dense to ensure that all virgin females were mated on the day of their maturation. Next, Solver found the death rate of adult males that was required to produce the adopted sex ratio of the adult population. From these parameters and the other inputs it was possible to establish the number of tsetse in each cell of the life table of each component of the stable tsetse population in each segment of the habitat prior to intervention. </w:t>
      </w:r>
    </w:p>
    <w:p w:rsidR="007A3BC3" w:rsidRPr="00A97A0D" w:rsidRDefault="007A3BC3" w:rsidP="00A97A0D">
      <w:pPr>
        <w:rPr>
          <w:lang w:val="en-AU"/>
        </w:rPr>
      </w:pPr>
      <w:r w:rsidRPr="00A97A0D">
        <w:rPr>
          <w:lang w:val="en-AU"/>
        </w:rPr>
        <w:t>To start the simulated intervention, the stable pre-intervention numbers of tsetse were put into all life tables of all segments, and Excel's calculation mode was set to iterate.</w:t>
      </w:r>
      <w:r w:rsidR="00E4743B" w:rsidRPr="00A97A0D">
        <w:rPr>
          <w:lang w:val="en-AU"/>
        </w:rPr>
        <w:t xml:space="preserve"> </w:t>
      </w:r>
      <w:proofErr w:type="gramStart"/>
      <w:r w:rsidRPr="00A97A0D">
        <w:rPr>
          <w:lang w:val="en-AU"/>
        </w:rPr>
        <w:t>At each iteration</w:t>
      </w:r>
      <w:proofErr w:type="gramEnd"/>
      <w:r w:rsidRPr="00A97A0D">
        <w:rPr>
          <w:lang w:val="en-AU"/>
        </w:rPr>
        <w:t xml:space="preserve">, regarded as the passage of a single day, a wave of calculations started at the top of the worksheet and passed down. The wave travelled first through preliminary calculations of the density-dependent death rates applicable to the tsetse densities </w:t>
      </w:r>
      <w:r w:rsidR="00E4743B" w:rsidRPr="00A97A0D">
        <w:rPr>
          <w:lang w:val="en-AU"/>
        </w:rPr>
        <w:t>in each segment of habitat on</w:t>
      </w:r>
      <w:r w:rsidRPr="00A97A0D">
        <w:rPr>
          <w:lang w:val="en-AU"/>
        </w:rPr>
        <w:t xml:space="preserve"> the day being simulated</w:t>
      </w:r>
      <w:r w:rsidR="00E4743B" w:rsidRPr="00A97A0D">
        <w:rPr>
          <w:lang w:val="en-AU"/>
        </w:rPr>
        <w:t>.</w:t>
      </w:r>
      <w:r w:rsidRPr="00A97A0D">
        <w:rPr>
          <w:lang w:val="en-AU"/>
        </w:rPr>
        <w:t xml:space="preserve"> This density was that displayed in the life tables lower on the sheet, where the wave of calculations had not yet reached, so that the density displayed there then was that for the end of the </w:t>
      </w:r>
      <w:r w:rsidRPr="00A97A0D">
        <w:rPr>
          <w:lang w:val="en-AU"/>
        </w:rPr>
        <w:lastRenderedPageBreak/>
        <w:t>previous day and hence for the start of the day being simulated. When the wave of calculation went lower on the sheet, to move through the life tables, it advanced the age of flies by one day, i</w:t>
      </w:r>
      <w:r w:rsidR="00BE70B1">
        <w:rPr>
          <w:lang w:val="en-AU"/>
        </w:rPr>
        <w:t>.</w:t>
      </w:r>
      <w:r w:rsidRPr="00A97A0D">
        <w:rPr>
          <w:lang w:val="en-AU"/>
        </w:rPr>
        <w:t>e</w:t>
      </w:r>
      <w:r w:rsidR="00BE70B1">
        <w:rPr>
          <w:lang w:val="en-AU"/>
        </w:rPr>
        <w:t>.</w:t>
      </w:r>
      <w:r w:rsidRPr="00A97A0D">
        <w:rPr>
          <w:lang w:val="en-AU"/>
        </w:rPr>
        <w:t xml:space="preserve">, shifted them up to the next daily age class of the life tables, and performing in that process all due movements, deaths, development and transfers between population components. At the bottom of the sheet the </w:t>
      </w:r>
      <w:proofErr w:type="gramStart"/>
      <w:r w:rsidRPr="00A97A0D">
        <w:rPr>
          <w:lang w:val="en-AU"/>
        </w:rPr>
        <w:t>number of new-born larvae were</w:t>
      </w:r>
      <w:proofErr w:type="gramEnd"/>
      <w:r w:rsidRPr="00A97A0D">
        <w:rPr>
          <w:lang w:val="en-AU"/>
        </w:rPr>
        <w:t xml:space="preserve"> added to the pupal section of the life tables, as pupae of age 0 days. After simulation of the required number of days of intervention, the population remaining in all cells of all life tables was copied and pasted to the record of outputs, prior to resetting Excel to its normal calculation mode.</w:t>
      </w:r>
    </w:p>
    <w:p w:rsidR="007A3BC3" w:rsidRPr="00A97A0D" w:rsidRDefault="007A3BC3" w:rsidP="00A97A0D">
      <w:pPr>
        <w:rPr>
          <w:b/>
          <w:lang w:val="en-AU"/>
        </w:rPr>
      </w:pPr>
      <w:r w:rsidRPr="00A97A0D">
        <w:rPr>
          <w:b/>
          <w:lang w:val="en-AU"/>
        </w:rPr>
        <w:t>References</w:t>
      </w:r>
    </w:p>
    <w:p w:rsidR="007A3BC3" w:rsidRPr="00A97A0D" w:rsidRDefault="007A3BC3" w:rsidP="00A97A0D">
      <w:pPr>
        <w:rPr>
          <w:lang w:val="en-AU"/>
        </w:rPr>
      </w:pPr>
    </w:p>
    <w:p w:rsidR="007A3BC3" w:rsidRPr="00A97A0D" w:rsidRDefault="007A3BC3" w:rsidP="00A97A0D">
      <w:pPr>
        <w:rPr>
          <w:lang w:val="en-AU"/>
        </w:rPr>
      </w:pPr>
      <w:bookmarkStart w:id="0" w:name="_ENREF_1"/>
      <w:r w:rsidRPr="00A97A0D">
        <w:rPr>
          <w:lang w:val="en-AU"/>
        </w:rPr>
        <w:t xml:space="preserve">1. Vale GA, Torr SJ. User-friendly models of the costs and efficacy of tsetse control: application to sterilizing and insecticidal techniques. </w:t>
      </w:r>
      <w:proofErr w:type="gramStart"/>
      <w:r w:rsidRPr="00A97A0D">
        <w:rPr>
          <w:lang w:val="en-AU"/>
        </w:rPr>
        <w:t xml:space="preserve">Med Vet </w:t>
      </w:r>
      <w:proofErr w:type="spellStart"/>
      <w:r w:rsidRPr="00A97A0D">
        <w:rPr>
          <w:lang w:val="en-AU"/>
        </w:rPr>
        <w:t>Entomol</w:t>
      </w:r>
      <w:proofErr w:type="spellEnd"/>
      <w:r w:rsidR="00E4743B" w:rsidRPr="00A97A0D">
        <w:rPr>
          <w:lang w:val="en-AU"/>
        </w:rPr>
        <w:t>.</w:t>
      </w:r>
      <w:proofErr w:type="gramEnd"/>
      <w:r w:rsidRPr="00A97A0D">
        <w:rPr>
          <w:lang w:val="en-AU"/>
        </w:rPr>
        <w:t xml:space="preserve"> 2005; 19: 293-305.</w:t>
      </w:r>
      <w:bookmarkEnd w:id="0"/>
    </w:p>
    <w:p w:rsidR="007A3BC3" w:rsidRPr="00A97A0D" w:rsidRDefault="007A3BC3" w:rsidP="00A97A0D">
      <w:pPr>
        <w:rPr>
          <w:lang w:val="en-AU"/>
        </w:rPr>
      </w:pPr>
      <w:r w:rsidRPr="00A97A0D">
        <w:rPr>
          <w:lang w:val="en-AU"/>
        </w:rPr>
        <w:t xml:space="preserve">2. Leak S. Tsetse Biology and Ecology, </w:t>
      </w:r>
      <w:smartTag w:uri="urn:schemas-microsoft-com:office:smarttags" w:element="place">
        <w:smartTag w:uri="urn:schemas-microsoft-com:office:smarttags" w:element="City">
          <w:r w:rsidRPr="00A97A0D">
            <w:rPr>
              <w:lang w:val="en-AU"/>
            </w:rPr>
            <w:t>Wallingford</w:t>
          </w:r>
        </w:smartTag>
      </w:smartTag>
      <w:r w:rsidRPr="00A97A0D">
        <w:rPr>
          <w:lang w:val="en-AU"/>
        </w:rPr>
        <w:t>, CABI Publishing; 1998.</w:t>
      </w:r>
    </w:p>
    <w:p w:rsidR="007A3BC3" w:rsidRPr="00A97A0D" w:rsidRDefault="007A3BC3" w:rsidP="00A97A0D">
      <w:pPr>
        <w:rPr>
          <w:lang w:val="en-AU"/>
        </w:rPr>
      </w:pPr>
      <w:r w:rsidRPr="00A97A0D">
        <w:rPr>
          <w:lang w:val="en-AU"/>
        </w:rPr>
        <w:t xml:space="preserve">3. Hargrove JW. </w:t>
      </w:r>
      <w:proofErr w:type="gramStart"/>
      <w:r w:rsidRPr="00A97A0D">
        <w:rPr>
          <w:lang w:val="en-AU"/>
        </w:rPr>
        <w:t>Tsetse population dynamics.</w:t>
      </w:r>
      <w:proofErr w:type="gramEnd"/>
      <w:r w:rsidRPr="00A97A0D">
        <w:rPr>
          <w:lang w:val="en-AU"/>
        </w:rPr>
        <w:t xml:space="preserve"> In: Maudlin I, Holmes PH, Miles MA, editors. </w:t>
      </w:r>
      <w:proofErr w:type="gramStart"/>
      <w:r w:rsidRPr="00A97A0D">
        <w:rPr>
          <w:lang w:val="en-AU"/>
        </w:rPr>
        <w:t xml:space="preserve">The </w:t>
      </w:r>
      <w:proofErr w:type="spellStart"/>
      <w:r w:rsidRPr="00A97A0D">
        <w:rPr>
          <w:lang w:val="en-AU"/>
        </w:rPr>
        <w:t>Trypanosomiases</w:t>
      </w:r>
      <w:proofErr w:type="spellEnd"/>
      <w:r w:rsidRPr="00A97A0D">
        <w:rPr>
          <w:lang w:val="en-AU"/>
        </w:rPr>
        <w:t>.</w:t>
      </w:r>
      <w:proofErr w:type="gramEnd"/>
      <w:r w:rsidRPr="00A97A0D">
        <w:rPr>
          <w:lang w:val="en-AU"/>
        </w:rPr>
        <w:t xml:space="preserve"> </w:t>
      </w:r>
      <w:smartTag w:uri="urn:schemas-microsoft-com:office:smarttags" w:element="City">
        <w:smartTag w:uri="urn:schemas-microsoft-com:office:smarttags" w:element="place">
          <w:r w:rsidRPr="00A97A0D">
            <w:rPr>
              <w:lang w:val="en-AU"/>
            </w:rPr>
            <w:t>Wallingford</w:t>
          </w:r>
        </w:smartTag>
      </w:smartTag>
      <w:r w:rsidRPr="00A97A0D">
        <w:rPr>
          <w:lang w:val="en-AU"/>
        </w:rPr>
        <w:t>: CABI publishing; 2004. pp. 113-137</w:t>
      </w:r>
    </w:p>
    <w:p w:rsidR="007A3BC3" w:rsidRPr="00A97A0D" w:rsidRDefault="007A3BC3" w:rsidP="00A97A0D">
      <w:pPr>
        <w:rPr>
          <w:lang w:val="en-AU"/>
        </w:rPr>
      </w:pPr>
      <w:r w:rsidRPr="00A97A0D">
        <w:rPr>
          <w:lang w:val="en-AU"/>
        </w:rPr>
        <w:t xml:space="preserve">4. </w:t>
      </w:r>
      <w:proofErr w:type="spellStart"/>
      <w:r w:rsidRPr="00A97A0D">
        <w:rPr>
          <w:lang w:val="en-AU"/>
        </w:rPr>
        <w:t>Bursell</w:t>
      </w:r>
      <w:proofErr w:type="spellEnd"/>
      <w:r w:rsidRPr="00A97A0D">
        <w:rPr>
          <w:lang w:val="en-AU"/>
        </w:rPr>
        <w:t xml:space="preserve"> E, </w:t>
      </w:r>
      <w:proofErr w:type="spellStart"/>
      <w:r w:rsidRPr="00A97A0D">
        <w:rPr>
          <w:lang w:val="en-AU"/>
        </w:rPr>
        <w:t>Kuwengwa</w:t>
      </w:r>
      <w:proofErr w:type="spellEnd"/>
      <w:r w:rsidRPr="00A97A0D">
        <w:rPr>
          <w:lang w:val="en-AU"/>
        </w:rPr>
        <w:t xml:space="preserve"> T. The </w:t>
      </w:r>
      <w:proofErr w:type="gramStart"/>
      <w:r w:rsidRPr="00A97A0D">
        <w:rPr>
          <w:lang w:val="en-AU"/>
        </w:rPr>
        <w:t>effect of flight on the development of flight musculature in the tsetse fly</w:t>
      </w:r>
      <w:proofErr w:type="gramEnd"/>
      <w:r w:rsidRPr="00A97A0D">
        <w:rPr>
          <w:lang w:val="en-AU"/>
        </w:rPr>
        <w:t xml:space="preserve"> (</w:t>
      </w:r>
      <w:r w:rsidRPr="00A97A0D">
        <w:rPr>
          <w:i/>
          <w:lang w:val="en-AU"/>
        </w:rPr>
        <w:t>Glossina morsitans</w:t>
      </w:r>
      <w:r w:rsidRPr="00A97A0D">
        <w:rPr>
          <w:lang w:val="en-AU"/>
        </w:rPr>
        <w:t xml:space="preserve">). </w:t>
      </w:r>
      <w:proofErr w:type="spellStart"/>
      <w:r w:rsidRPr="00A97A0D">
        <w:rPr>
          <w:lang w:val="en-AU"/>
        </w:rPr>
        <w:t>Entomol</w:t>
      </w:r>
      <w:proofErr w:type="spellEnd"/>
      <w:r w:rsidRPr="00A97A0D">
        <w:rPr>
          <w:lang w:val="en-AU"/>
        </w:rPr>
        <w:t xml:space="preserve"> </w:t>
      </w:r>
      <w:proofErr w:type="spellStart"/>
      <w:r w:rsidRPr="00A97A0D">
        <w:rPr>
          <w:lang w:val="en-AU"/>
        </w:rPr>
        <w:t>Exp</w:t>
      </w:r>
      <w:proofErr w:type="spellEnd"/>
      <w:r w:rsidRPr="00A97A0D">
        <w:rPr>
          <w:lang w:val="en-AU"/>
        </w:rPr>
        <w:t xml:space="preserve"> </w:t>
      </w:r>
      <w:proofErr w:type="gramStart"/>
      <w:r w:rsidRPr="00A97A0D">
        <w:rPr>
          <w:lang w:val="en-AU"/>
        </w:rPr>
        <w:t>et</w:t>
      </w:r>
      <w:proofErr w:type="gramEnd"/>
      <w:r w:rsidRPr="00A97A0D">
        <w:rPr>
          <w:lang w:val="en-AU"/>
        </w:rPr>
        <w:t xml:space="preserve"> Appl. 1972; 15: 229-237.</w:t>
      </w:r>
    </w:p>
    <w:p w:rsidR="007A3BC3" w:rsidRPr="00A97A0D" w:rsidRDefault="007A3BC3" w:rsidP="00A97A0D">
      <w:pPr>
        <w:rPr>
          <w:lang w:val="en-AU"/>
        </w:rPr>
      </w:pPr>
      <w:r w:rsidRPr="00A97A0D">
        <w:rPr>
          <w:lang w:val="en-AU"/>
        </w:rPr>
        <w:t xml:space="preserve">5. </w:t>
      </w:r>
      <w:smartTag w:uri="urn:schemas-microsoft-com:office:smarttags" w:element="City">
        <w:smartTag w:uri="urn:schemas-microsoft-com:office:smarttags" w:element="place">
          <w:r w:rsidRPr="00A97A0D">
            <w:rPr>
              <w:lang w:val="en-AU"/>
            </w:rPr>
            <w:t>Jackson</w:t>
          </w:r>
        </w:smartTag>
      </w:smartTag>
      <w:r w:rsidRPr="00A97A0D">
        <w:rPr>
          <w:lang w:val="en-AU"/>
        </w:rPr>
        <w:t xml:space="preserve"> CHN. An artificially isolated population of tsetse flies (</w:t>
      </w:r>
      <w:proofErr w:type="spellStart"/>
      <w:r w:rsidRPr="00A97A0D">
        <w:rPr>
          <w:lang w:val="en-AU"/>
        </w:rPr>
        <w:t>Diptera</w:t>
      </w:r>
      <w:proofErr w:type="spellEnd"/>
      <w:r w:rsidRPr="00A97A0D">
        <w:rPr>
          <w:lang w:val="en-AU"/>
        </w:rPr>
        <w:t xml:space="preserve">). </w:t>
      </w:r>
      <w:proofErr w:type="gramStart"/>
      <w:r w:rsidRPr="00A97A0D">
        <w:rPr>
          <w:lang w:val="en-AU"/>
        </w:rPr>
        <w:t xml:space="preserve">B </w:t>
      </w:r>
      <w:proofErr w:type="spellStart"/>
      <w:r w:rsidRPr="00A97A0D">
        <w:rPr>
          <w:lang w:val="en-AU"/>
        </w:rPr>
        <w:t>Entomol</w:t>
      </w:r>
      <w:proofErr w:type="spellEnd"/>
      <w:r w:rsidRPr="00A97A0D">
        <w:rPr>
          <w:lang w:val="en-AU"/>
        </w:rPr>
        <w:t xml:space="preserve"> Res. 1946; 37: 291-299.</w:t>
      </w:r>
      <w:proofErr w:type="gramEnd"/>
    </w:p>
    <w:p w:rsidR="007A3BC3" w:rsidRPr="00A97A0D" w:rsidRDefault="007A3BC3" w:rsidP="00A97A0D">
      <w:pPr>
        <w:rPr>
          <w:lang w:val="en-AU"/>
        </w:rPr>
      </w:pPr>
      <w:r w:rsidRPr="00A97A0D">
        <w:rPr>
          <w:lang w:val="en-AU"/>
        </w:rPr>
        <w:t xml:space="preserve">6. Rogers D. Study of a natural population of </w:t>
      </w:r>
      <w:r w:rsidRPr="00A97A0D">
        <w:rPr>
          <w:i/>
          <w:lang w:val="en-AU"/>
        </w:rPr>
        <w:t xml:space="preserve">Glossina </w:t>
      </w:r>
      <w:proofErr w:type="spellStart"/>
      <w:r w:rsidRPr="00A97A0D">
        <w:rPr>
          <w:i/>
          <w:lang w:val="en-AU"/>
        </w:rPr>
        <w:t>fuscipes</w:t>
      </w:r>
      <w:proofErr w:type="spellEnd"/>
      <w:r w:rsidRPr="00A97A0D">
        <w:rPr>
          <w:i/>
          <w:lang w:val="en-AU"/>
        </w:rPr>
        <w:t xml:space="preserve"> </w:t>
      </w:r>
      <w:proofErr w:type="spellStart"/>
      <w:r w:rsidRPr="00A97A0D">
        <w:rPr>
          <w:i/>
          <w:lang w:val="en-AU"/>
        </w:rPr>
        <w:t>fuscipes</w:t>
      </w:r>
      <w:proofErr w:type="spellEnd"/>
      <w:r w:rsidRPr="00A97A0D">
        <w:rPr>
          <w:i/>
          <w:lang w:val="en-AU"/>
        </w:rPr>
        <w:t xml:space="preserve"> </w:t>
      </w:r>
      <w:r w:rsidRPr="00A97A0D">
        <w:rPr>
          <w:lang w:val="en-AU"/>
        </w:rPr>
        <w:t xml:space="preserve">Newstead and a model of fly movement. </w:t>
      </w:r>
      <w:proofErr w:type="gramStart"/>
      <w:r w:rsidRPr="00A97A0D">
        <w:rPr>
          <w:lang w:val="en-AU"/>
        </w:rPr>
        <w:t xml:space="preserve">J </w:t>
      </w:r>
      <w:proofErr w:type="spellStart"/>
      <w:r w:rsidRPr="00A97A0D">
        <w:rPr>
          <w:lang w:val="en-AU"/>
        </w:rPr>
        <w:t>Anim</w:t>
      </w:r>
      <w:proofErr w:type="spellEnd"/>
      <w:r w:rsidRPr="00A97A0D">
        <w:rPr>
          <w:lang w:val="en-AU"/>
        </w:rPr>
        <w:t xml:space="preserve"> Ecol. 1977; 46: 309-330.</w:t>
      </w:r>
      <w:proofErr w:type="gramEnd"/>
    </w:p>
    <w:p w:rsidR="007A3BC3" w:rsidRPr="00A97A0D" w:rsidRDefault="007A3BC3" w:rsidP="00A97A0D">
      <w:pPr>
        <w:rPr>
          <w:lang w:val="en-AU"/>
        </w:rPr>
      </w:pPr>
      <w:r w:rsidRPr="00A97A0D">
        <w:rPr>
          <w:lang w:val="en-AU"/>
        </w:rPr>
        <w:t>7.</w:t>
      </w:r>
      <w:bookmarkStart w:id="1" w:name="_ENREF_2"/>
      <w:r w:rsidRPr="00A97A0D">
        <w:rPr>
          <w:lang w:val="en-AU"/>
        </w:rPr>
        <w:t xml:space="preserve"> </w:t>
      </w:r>
      <w:proofErr w:type="spellStart"/>
      <w:r w:rsidRPr="00A97A0D">
        <w:rPr>
          <w:lang w:val="en-AU"/>
        </w:rPr>
        <w:t>Kgori</w:t>
      </w:r>
      <w:proofErr w:type="spellEnd"/>
      <w:r w:rsidRPr="00A97A0D">
        <w:rPr>
          <w:lang w:val="en-AU"/>
        </w:rPr>
        <w:t xml:space="preserve"> PM, </w:t>
      </w:r>
      <w:proofErr w:type="spellStart"/>
      <w:r w:rsidRPr="00A97A0D">
        <w:rPr>
          <w:lang w:val="en-AU"/>
        </w:rPr>
        <w:t>Modo</w:t>
      </w:r>
      <w:proofErr w:type="spellEnd"/>
      <w:r w:rsidRPr="00A97A0D">
        <w:rPr>
          <w:lang w:val="en-AU"/>
        </w:rPr>
        <w:t xml:space="preserve"> S, Torr SJ. </w:t>
      </w:r>
      <w:proofErr w:type="gramStart"/>
      <w:r w:rsidRPr="00A97A0D">
        <w:rPr>
          <w:lang w:val="en-AU"/>
        </w:rPr>
        <w:t>The use of aerial spraying to eliminate tsetse from the Okavango Delta of Botswana.</w:t>
      </w:r>
      <w:proofErr w:type="gramEnd"/>
      <w:r w:rsidRPr="00A97A0D">
        <w:rPr>
          <w:lang w:val="en-AU"/>
        </w:rPr>
        <w:t xml:space="preserve"> </w:t>
      </w:r>
      <w:proofErr w:type="spellStart"/>
      <w:proofErr w:type="gramStart"/>
      <w:r w:rsidRPr="00A97A0D">
        <w:rPr>
          <w:lang w:val="en-AU"/>
        </w:rPr>
        <w:t>Acta</w:t>
      </w:r>
      <w:proofErr w:type="spellEnd"/>
      <w:r w:rsidRPr="00A97A0D">
        <w:rPr>
          <w:lang w:val="en-AU"/>
        </w:rPr>
        <w:t xml:space="preserve"> Trop. 2006; 99: 184-199.</w:t>
      </w:r>
      <w:bookmarkEnd w:id="1"/>
      <w:proofErr w:type="gramEnd"/>
    </w:p>
    <w:p w:rsidR="007A3BC3" w:rsidRPr="00A97A0D" w:rsidRDefault="007A3BC3" w:rsidP="00A97A0D">
      <w:pPr>
        <w:rPr>
          <w:lang w:val="en-AU"/>
        </w:rPr>
      </w:pPr>
      <w:r w:rsidRPr="00A97A0D">
        <w:rPr>
          <w:lang w:val="en-AU"/>
        </w:rPr>
        <w:t xml:space="preserve">8. Torr SJ, </w:t>
      </w:r>
      <w:smartTag w:uri="urn:schemas-microsoft-com:office:smarttags" w:element="City">
        <w:r w:rsidRPr="00A97A0D">
          <w:rPr>
            <w:lang w:val="en-AU"/>
          </w:rPr>
          <w:t>Vale</w:t>
        </w:r>
      </w:smartTag>
      <w:r w:rsidRPr="00A97A0D">
        <w:rPr>
          <w:lang w:val="en-AU"/>
        </w:rPr>
        <w:t xml:space="preserve"> </w:t>
      </w:r>
      <w:smartTag w:uri="urn:schemas-microsoft-com:office:smarttags" w:element="State">
        <w:r w:rsidRPr="00A97A0D">
          <w:rPr>
            <w:lang w:val="en-AU"/>
          </w:rPr>
          <w:t>GA</w:t>
        </w:r>
      </w:smartTag>
      <w:r w:rsidRPr="00A97A0D">
        <w:rPr>
          <w:lang w:val="en-AU"/>
        </w:rPr>
        <w:t xml:space="preserve"> Is the Even Distribution of insecticide-treated cattle essential for tsetse control? </w:t>
      </w:r>
      <w:proofErr w:type="gramStart"/>
      <w:r w:rsidRPr="00A97A0D">
        <w:rPr>
          <w:lang w:val="en-AU"/>
        </w:rPr>
        <w:t>Modelling the impact of baits in heterogeneous environments.</w:t>
      </w:r>
      <w:proofErr w:type="gramEnd"/>
      <w:r w:rsidRPr="00A97A0D">
        <w:rPr>
          <w:lang w:val="en-AU"/>
        </w:rPr>
        <w:t xml:space="preserve"> </w:t>
      </w:r>
      <w:proofErr w:type="spellStart"/>
      <w:r w:rsidRPr="00A97A0D">
        <w:rPr>
          <w:lang w:val="en-AU"/>
        </w:rPr>
        <w:t>PLoS</w:t>
      </w:r>
      <w:proofErr w:type="spellEnd"/>
      <w:r w:rsidRPr="00A97A0D">
        <w:rPr>
          <w:lang w:val="en-AU"/>
        </w:rPr>
        <w:t xml:space="preserve"> </w:t>
      </w:r>
      <w:proofErr w:type="spellStart"/>
      <w:r w:rsidRPr="00A97A0D">
        <w:rPr>
          <w:lang w:val="en-AU"/>
        </w:rPr>
        <w:t>Negl</w:t>
      </w:r>
      <w:proofErr w:type="spellEnd"/>
      <w:r w:rsidRPr="00A97A0D">
        <w:rPr>
          <w:lang w:val="en-AU"/>
        </w:rPr>
        <w:t xml:space="preserve"> Trop Dis. 2011; 5(10): e1360.</w:t>
      </w:r>
    </w:p>
    <w:p w:rsidR="007A3BC3" w:rsidRPr="00A97A0D" w:rsidRDefault="007A3BC3" w:rsidP="00A97A0D">
      <w:pPr>
        <w:rPr>
          <w:lang w:val="en-AU"/>
        </w:rPr>
      </w:pPr>
      <w:r w:rsidRPr="00A97A0D">
        <w:rPr>
          <w:lang w:val="en-AU"/>
        </w:rPr>
        <w:t>9. Rogers DJ</w:t>
      </w:r>
      <w:r w:rsidR="00835D1A" w:rsidRPr="00A97A0D">
        <w:rPr>
          <w:lang w:val="en-AU"/>
        </w:rPr>
        <w:t>.</w:t>
      </w:r>
      <w:r w:rsidRPr="00A97A0D">
        <w:rPr>
          <w:lang w:val="en-AU"/>
        </w:rPr>
        <w:t xml:space="preserve"> </w:t>
      </w:r>
      <w:proofErr w:type="gramStart"/>
      <w:r w:rsidR="006E68E9" w:rsidRPr="00A97A0D">
        <w:rPr>
          <w:lang w:val="en-AU"/>
        </w:rPr>
        <w:t>Estimation of rates of predation on tsetse</w:t>
      </w:r>
      <w:r w:rsidR="00E4743B" w:rsidRPr="00A97A0D">
        <w:rPr>
          <w:lang w:val="en-AU"/>
        </w:rPr>
        <w:t>.</w:t>
      </w:r>
      <w:proofErr w:type="gramEnd"/>
      <w:r w:rsidR="006E68E9" w:rsidRPr="00A97A0D">
        <w:rPr>
          <w:lang w:val="en-AU"/>
        </w:rPr>
        <w:t xml:space="preserve"> </w:t>
      </w:r>
      <w:proofErr w:type="gramStart"/>
      <w:r w:rsidR="006E68E9" w:rsidRPr="00A97A0D">
        <w:rPr>
          <w:lang w:val="en-AU"/>
        </w:rPr>
        <w:t xml:space="preserve">Med Vet </w:t>
      </w:r>
      <w:proofErr w:type="spellStart"/>
      <w:r w:rsidR="006E68E9" w:rsidRPr="00A97A0D">
        <w:rPr>
          <w:lang w:val="en-AU"/>
        </w:rPr>
        <w:t>Entomol</w:t>
      </w:r>
      <w:proofErr w:type="spellEnd"/>
      <w:r w:rsidR="006E68E9" w:rsidRPr="00A97A0D">
        <w:rPr>
          <w:lang w:val="en-AU"/>
        </w:rPr>
        <w:t>.</w:t>
      </w:r>
      <w:proofErr w:type="gramEnd"/>
      <w:r w:rsidR="00835D1A" w:rsidRPr="00A97A0D">
        <w:rPr>
          <w:lang w:val="en-AU"/>
        </w:rPr>
        <w:t xml:space="preserve"> </w:t>
      </w:r>
      <w:proofErr w:type="gramStart"/>
      <w:r w:rsidR="00835D1A" w:rsidRPr="00A97A0D">
        <w:rPr>
          <w:lang w:val="en-AU"/>
        </w:rPr>
        <w:t xml:space="preserve">1990; </w:t>
      </w:r>
      <w:r w:rsidR="006E68E9" w:rsidRPr="00A97A0D">
        <w:rPr>
          <w:lang w:val="en-AU"/>
        </w:rPr>
        <w:t>4</w:t>
      </w:r>
      <w:r w:rsidR="00835D1A" w:rsidRPr="00A97A0D">
        <w:rPr>
          <w:lang w:val="en-AU"/>
        </w:rPr>
        <w:t>:</w:t>
      </w:r>
      <w:r w:rsidR="006E68E9" w:rsidRPr="00A97A0D">
        <w:rPr>
          <w:lang w:val="en-AU"/>
        </w:rPr>
        <w:t xml:space="preserve"> 195-204.</w:t>
      </w:r>
      <w:proofErr w:type="gramEnd"/>
    </w:p>
    <w:p w:rsidR="007A3BC3" w:rsidRPr="00A97A0D" w:rsidRDefault="007A3BC3" w:rsidP="00A97A0D">
      <w:pPr>
        <w:rPr>
          <w:lang w:val="en-AU"/>
        </w:rPr>
      </w:pPr>
      <w:r w:rsidRPr="00A97A0D">
        <w:rPr>
          <w:lang w:val="en-AU"/>
        </w:rPr>
        <w:t>10. Vale GA. Feeding responses of tsetse flies (</w:t>
      </w:r>
      <w:proofErr w:type="spellStart"/>
      <w:r w:rsidRPr="00A97A0D">
        <w:rPr>
          <w:lang w:val="en-AU"/>
        </w:rPr>
        <w:t>Diptera</w:t>
      </w:r>
      <w:proofErr w:type="spellEnd"/>
      <w:r w:rsidRPr="00A97A0D">
        <w:rPr>
          <w:lang w:val="en-AU"/>
        </w:rPr>
        <w:t xml:space="preserve">: </w:t>
      </w:r>
      <w:proofErr w:type="spellStart"/>
      <w:r w:rsidRPr="00A97A0D">
        <w:rPr>
          <w:lang w:val="en-AU"/>
        </w:rPr>
        <w:t>Glossinidae</w:t>
      </w:r>
      <w:proofErr w:type="spellEnd"/>
      <w:r w:rsidRPr="00A97A0D">
        <w:rPr>
          <w:lang w:val="en-AU"/>
        </w:rPr>
        <w:t xml:space="preserve">) to stationary hosts. B </w:t>
      </w:r>
      <w:proofErr w:type="spellStart"/>
      <w:r w:rsidRPr="00A97A0D">
        <w:rPr>
          <w:lang w:val="en-AU"/>
        </w:rPr>
        <w:t>Entomol</w:t>
      </w:r>
      <w:proofErr w:type="spellEnd"/>
      <w:r w:rsidRPr="00A97A0D">
        <w:rPr>
          <w:lang w:val="en-AU"/>
        </w:rPr>
        <w:t xml:space="preserve"> Res. 1977; 67:635-649</w:t>
      </w:r>
    </w:p>
    <w:p w:rsidR="007A3BC3" w:rsidRPr="00A97A0D" w:rsidRDefault="007A3BC3" w:rsidP="00A97A0D">
      <w:pPr>
        <w:rPr>
          <w:lang w:val="en-AU"/>
        </w:rPr>
      </w:pPr>
      <w:bookmarkStart w:id="2" w:name="_ENREF_6"/>
      <w:r w:rsidRPr="00A97A0D">
        <w:rPr>
          <w:lang w:val="en-AU"/>
        </w:rPr>
        <w:t xml:space="preserve">11. Hargrove JW. Tsetse: the limits to population growth. </w:t>
      </w:r>
      <w:proofErr w:type="gramStart"/>
      <w:r w:rsidRPr="00A97A0D">
        <w:rPr>
          <w:lang w:val="en-AU"/>
        </w:rPr>
        <w:t xml:space="preserve">Med Vet </w:t>
      </w:r>
      <w:proofErr w:type="spellStart"/>
      <w:r w:rsidRPr="00A97A0D">
        <w:rPr>
          <w:lang w:val="en-AU"/>
        </w:rPr>
        <w:t>Entomol</w:t>
      </w:r>
      <w:proofErr w:type="spellEnd"/>
      <w:r w:rsidRPr="00A97A0D">
        <w:rPr>
          <w:lang w:val="en-AU"/>
        </w:rPr>
        <w:t>.</w:t>
      </w:r>
      <w:proofErr w:type="gramEnd"/>
      <w:r w:rsidRPr="00A97A0D">
        <w:rPr>
          <w:lang w:val="en-AU"/>
        </w:rPr>
        <w:t xml:space="preserve"> </w:t>
      </w:r>
      <w:proofErr w:type="gramStart"/>
      <w:r w:rsidRPr="00A97A0D">
        <w:rPr>
          <w:lang w:val="en-AU"/>
        </w:rPr>
        <w:t>1988; 2: 203-217.</w:t>
      </w:r>
      <w:bookmarkEnd w:id="2"/>
      <w:proofErr w:type="gramEnd"/>
    </w:p>
    <w:p w:rsidR="007A3BC3" w:rsidRPr="00A97A0D" w:rsidRDefault="007A3BC3" w:rsidP="00A97A0D">
      <w:pPr>
        <w:rPr>
          <w:lang w:val="en-AU"/>
        </w:rPr>
      </w:pPr>
      <w:r w:rsidRPr="00A97A0D">
        <w:rPr>
          <w:lang w:val="en-AU"/>
        </w:rPr>
        <w:t xml:space="preserve">12. </w:t>
      </w:r>
      <w:smartTag w:uri="urn:schemas-microsoft-com:office:smarttags" w:element="City">
        <w:smartTag w:uri="urn:schemas-microsoft-com:office:smarttags" w:element="place">
          <w:r w:rsidRPr="00A97A0D">
            <w:rPr>
              <w:lang w:val="en-AU"/>
            </w:rPr>
            <w:t>Glasgow</w:t>
          </w:r>
        </w:smartTag>
      </w:smartTag>
      <w:r w:rsidRPr="00A97A0D">
        <w:rPr>
          <w:lang w:val="en-AU"/>
        </w:rPr>
        <w:t xml:space="preserve"> JP. </w:t>
      </w:r>
      <w:proofErr w:type="gramStart"/>
      <w:r w:rsidRPr="00A97A0D">
        <w:rPr>
          <w:lang w:val="en-AU"/>
        </w:rPr>
        <w:t>The distribution and abundance of tsetse.</w:t>
      </w:r>
      <w:proofErr w:type="gramEnd"/>
      <w:r w:rsidRPr="00A97A0D">
        <w:rPr>
          <w:lang w:val="en-AU"/>
        </w:rPr>
        <w:t xml:space="preserve"> Oxford: </w:t>
      </w:r>
      <w:proofErr w:type="spellStart"/>
      <w:proofErr w:type="gramStart"/>
      <w:r w:rsidRPr="00A97A0D">
        <w:rPr>
          <w:lang w:val="en-AU"/>
        </w:rPr>
        <w:t>Pergamon</w:t>
      </w:r>
      <w:proofErr w:type="spellEnd"/>
      <w:r w:rsidRPr="00A97A0D">
        <w:rPr>
          <w:lang w:val="en-AU"/>
        </w:rPr>
        <w:t xml:space="preserve"> </w:t>
      </w:r>
      <w:r w:rsidR="00FA771F" w:rsidRPr="00A97A0D">
        <w:rPr>
          <w:lang w:val="en-AU"/>
        </w:rPr>
        <w:t>;</w:t>
      </w:r>
      <w:r w:rsidRPr="00A97A0D">
        <w:rPr>
          <w:lang w:val="en-AU"/>
        </w:rPr>
        <w:t>1963</w:t>
      </w:r>
      <w:proofErr w:type="gramEnd"/>
    </w:p>
    <w:p w:rsidR="007A3BC3" w:rsidRPr="00A97A0D" w:rsidRDefault="007A3BC3" w:rsidP="00A97A0D">
      <w:pPr>
        <w:rPr>
          <w:lang w:val="en-AU"/>
        </w:rPr>
      </w:pPr>
    </w:p>
    <w:p w:rsidR="007A3BC3" w:rsidRPr="00A97A0D" w:rsidRDefault="007A3BC3" w:rsidP="00A97A0D">
      <w:pPr>
        <w:rPr>
          <w:lang w:val="en-AU"/>
        </w:rPr>
      </w:pPr>
      <w:r w:rsidRPr="00A97A0D">
        <w:rPr>
          <w:lang w:val="en-AU"/>
        </w:rPr>
        <w:br w:type="page"/>
      </w:r>
    </w:p>
    <w:p w:rsidR="007A3BC3" w:rsidRPr="00A97A0D" w:rsidRDefault="007A3BC3" w:rsidP="00A97A0D">
      <w:pPr>
        <w:rPr>
          <w:lang w:val="en-AU"/>
        </w:rPr>
      </w:pPr>
      <w:r w:rsidRPr="002E4A77">
        <w:rPr>
          <w:lang w:val="en-AU"/>
        </w:rPr>
        <w:lastRenderedPageBreak/>
        <w:t xml:space="preserve">Table </w:t>
      </w:r>
      <w:r w:rsidR="00290262" w:rsidRPr="002E4A77">
        <w:rPr>
          <w:lang w:val="en-AU"/>
        </w:rPr>
        <w:t>A</w:t>
      </w:r>
      <w:r w:rsidRPr="002E4A77">
        <w:rPr>
          <w:lang w:val="en-AU"/>
        </w:rPr>
        <w:t>.</w:t>
      </w:r>
      <w:r w:rsidRPr="00A97A0D">
        <w:rPr>
          <w:lang w:val="en-AU"/>
        </w:rPr>
        <w:t xml:space="preserve"> Features of the simulated population at stable carrying capacity</w:t>
      </w:r>
    </w:p>
    <w:p w:rsidR="007A3BC3" w:rsidRPr="00A97A0D" w:rsidRDefault="007A3BC3" w:rsidP="00A97A0D">
      <w:pPr>
        <w:rPr>
          <w:lang w:val="en-AU"/>
        </w:rPr>
      </w:pPr>
    </w:p>
    <w:tbl>
      <w:tblPr>
        <w:tblStyle w:val="TableGrid1"/>
        <w:tblW w:w="0" w:type="auto"/>
        <w:tblLook w:val="01E0" w:firstRow="1" w:lastRow="1" w:firstColumn="1" w:lastColumn="1" w:noHBand="0" w:noVBand="0"/>
      </w:tblPr>
      <w:tblGrid>
        <w:gridCol w:w="1368"/>
        <w:gridCol w:w="1620"/>
        <w:gridCol w:w="1800"/>
        <w:gridCol w:w="1260"/>
        <w:gridCol w:w="1260"/>
        <w:gridCol w:w="1214"/>
      </w:tblGrid>
      <w:tr w:rsidR="007A3BC3" w:rsidRPr="00A97A0D" w:rsidTr="00AF2B88">
        <w:tc>
          <w:tcPr>
            <w:tcW w:w="4788" w:type="dxa"/>
            <w:gridSpan w:val="3"/>
          </w:tcPr>
          <w:p w:rsidR="007A3BC3" w:rsidRPr="00A97A0D" w:rsidRDefault="007A3BC3" w:rsidP="00A97A0D">
            <w:pPr>
              <w:spacing w:after="200" w:line="276" w:lineRule="auto"/>
              <w:rPr>
                <w:rFonts w:asciiTheme="minorHAnsi" w:hAnsiTheme="minorHAnsi"/>
                <w:b/>
                <w:lang w:val="en-AU"/>
              </w:rPr>
            </w:pPr>
            <w:r w:rsidRPr="00A97A0D">
              <w:rPr>
                <w:rFonts w:asciiTheme="minorHAnsi" w:hAnsiTheme="minorHAnsi"/>
                <w:b/>
                <w:lang w:val="en-AU"/>
              </w:rPr>
              <w:t>Feature</w:t>
            </w:r>
          </w:p>
        </w:tc>
        <w:tc>
          <w:tcPr>
            <w:tcW w:w="1260" w:type="dxa"/>
          </w:tcPr>
          <w:p w:rsidR="007A3BC3" w:rsidRPr="00A97A0D" w:rsidRDefault="007A3BC3" w:rsidP="00A97A0D">
            <w:pPr>
              <w:spacing w:after="200" w:line="276" w:lineRule="auto"/>
              <w:rPr>
                <w:rFonts w:asciiTheme="minorHAnsi" w:hAnsiTheme="minorHAnsi"/>
                <w:b/>
                <w:lang w:val="en-AU"/>
              </w:rPr>
            </w:pPr>
            <w:r w:rsidRPr="00A97A0D">
              <w:rPr>
                <w:rFonts w:asciiTheme="minorHAnsi" w:hAnsiTheme="minorHAnsi"/>
                <w:b/>
                <w:lang w:val="en-AU"/>
              </w:rPr>
              <w:t>Males</w:t>
            </w:r>
          </w:p>
        </w:tc>
        <w:tc>
          <w:tcPr>
            <w:tcW w:w="1260" w:type="dxa"/>
          </w:tcPr>
          <w:p w:rsidR="007A3BC3" w:rsidRPr="00A97A0D" w:rsidRDefault="007A3BC3" w:rsidP="00A97A0D">
            <w:pPr>
              <w:spacing w:after="200" w:line="276" w:lineRule="auto"/>
              <w:rPr>
                <w:rFonts w:asciiTheme="minorHAnsi" w:hAnsiTheme="minorHAnsi"/>
                <w:b/>
                <w:lang w:val="en-AU"/>
              </w:rPr>
            </w:pPr>
            <w:r w:rsidRPr="00A97A0D">
              <w:rPr>
                <w:rFonts w:asciiTheme="minorHAnsi" w:hAnsiTheme="minorHAnsi"/>
                <w:b/>
                <w:lang w:val="en-AU"/>
              </w:rPr>
              <w:t>Females</w:t>
            </w:r>
          </w:p>
        </w:tc>
        <w:tc>
          <w:tcPr>
            <w:tcW w:w="1214" w:type="dxa"/>
          </w:tcPr>
          <w:p w:rsidR="007A3BC3" w:rsidRPr="00A97A0D" w:rsidRDefault="007A3BC3" w:rsidP="00A97A0D">
            <w:pPr>
              <w:spacing w:after="200" w:line="276" w:lineRule="auto"/>
              <w:rPr>
                <w:rFonts w:asciiTheme="minorHAnsi" w:hAnsiTheme="minorHAnsi"/>
                <w:b/>
                <w:lang w:val="en-AU"/>
              </w:rPr>
            </w:pPr>
            <w:r w:rsidRPr="00A97A0D">
              <w:rPr>
                <w:rFonts w:asciiTheme="minorHAnsi" w:hAnsiTheme="minorHAnsi"/>
                <w:b/>
                <w:lang w:val="en-AU"/>
              </w:rPr>
              <w:t>Source</w:t>
            </w:r>
          </w:p>
        </w:tc>
      </w:tr>
      <w:tr w:rsidR="007A3BC3" w:rsidRPr="00A97A0D" w:rsidTr="00AF2B88">
        <w:tc>
          <w:tcPr>
            <w:tcW w:w="4788" w:type="dxa"/>
            <w:gridSpan w:val="3"/>
          </w:tcPr>
          <w:p w:rsidR="007A3BC3" w:rsidRPr="00A97A0D" w:rsidRDefault="007A3BC3" w:rsidP="00A97A0D">
            <w:pPr>
              <w:spacing w:after="200" w:line="276" w:lineRule="auto"/>
              <w:rPr>
                <w:rFonts w:asciiTheme="minorHAnsi" w:hAnsiTheme="minorHAnsi"/>
                <w:lang w:val="en-AU"/>
              </w:rPr>
            </w:pPr>
            <w:r w:rsidRPr="00A97A0D">
              <w:rPr>
                <w:rFonts w:asciiTheme="minorHAnsi" w:hAnsiTheme="minorHAnsi"/>
                <w:lang w:val="en-AU"/>
              </w:rPr>
              <w:t>Adults per km</w:t>
            </w:r>
            <w:r w:rsidRPr="00A97A0D">
              <w:rPr>
                <w:rFonts w:asciiTheme="minorHAnsi" w:hAnsiTheme="minorHAnsi"/>
                <w:vertAlign w:val="superscript"/>
                <w:lang w:val="en-AU"/>
              </w:rPr>
              <w:t>2</w:t>
            </w:r>
            <w:r w:rsidRPr="00A97A0D">
              <w:rPr>
                <w:rFonts w:asciiTheme="minorHAnsi" w:hAnsiTheme="minorHAnsi"/>
                <w:lang w:val="en-AU"/>
              </w:rPr>
              <w:t xml:space="preserve"> of habitat</w:t>
            </w:r>
          </w:p>
        </w:tc>
        <w:tc>
          <w:tcPr>
            <w:tcW w:w="1260" w:type="dxa"/>
          </w:tcPr>
          <w:p w:rsidR="007A3BC3" w:rsidRPr="00A97A0D" w:rsidRDefault="007A3BC3" w:rsidP="00A97A0D">
            <w:pPr>
              <w:spacing w:after="200" w:line="276" w:lineRule="auto"/>
              <w:rPr>
                <w:rFonts w:asciiTheme="minorHAnsi" w:hAnsiTheme="minorHAnsi"/>
                <w:lang w:val="en-AU"/>
              </w:rPr>
            </w:pPr>
            <w:r w:rsidRPr="00A97A0D">
              <w:rPr>
                <w:rFonts w:asciiTheme="minorHAnsi" w:hAnsiTheme="minorHAnsi"/>
                <w:lang w:val="en-AU"/>
              </w:rPr>
              <w:t>2500</w:t>
            </w:r>
          </w:p>
        </w:tc>
        <w:tc>
          <w:tcPr>
            <w:tcW w:w="1260" w:type="dxa"/>
          </w:tcPr>
          <w:p w:rsidR="007A3BC3" w:rsidRPr="00A97A0D" w:rsidRDefault="007A3BC3" w:rsidP="00A97A0D">
            <w:pPr>
              <w:spacing w:after="200" w:line="276" w:lineRule="auto"/>
              <w:rPr>
                <w:rFonts w:asciiTheme="minorHAnsi" w:hAnsiTheme="minorHAnsi"/>
                <w:lang w:val="en-AU"/>
              </w:rPr>
            </w:pPr>
            <w:r w:rsidRPr="00A97A0D">
              <w:rPr>
                <w:rFonts w:asciiTheme="minorHAnsi" w:hAnsiTheme="minorHAnsi"/>
                <w:lang w:val="en-AU"/>
              </w:rPr>
              <w:t>5000</w:t>
            </w:r>
          </w:p>
        </w:tc>
        <w:tc>
          <w:tcPr>
            <w:tcW w:w="1214" w:type="dxa"/>
          </w:tcPr>
          <w:p w:rsidR="007A3BC3" w:rsidRPr="00A97A0D" w:rsidRDefault="007A3BC3" w:rsidP="00A97A0D">
            <w:pPr>
              <w:spacing w:after="200" w:line="276" w:lineRule="auto"/>
              <w:rPr>
                <w:rFonts w:asciiTheme="minorHAnsi" w:hAnsiTheme="minorHAnsi"/>
                <w:bCs/>
                <w:lang w:val="en-AU"/>
              </w:rPr>
            </w:pPr>
            <w:r w:rsidRPr="00A97A0D">
              <w:rPr>
                <w:rFonts w:asciiTheme="minorHAnsi" w:hAnsiTheme="minorHAnsi"/>
                <w:bCs/>
                <w:lang w:val="en-AU"/>
              </w:rPr>
              <w:t>[2]</w:t>
            </w:r>
          </w:p>
        </w:tc>
      </w:tr>
      <w:tr w:rsidR="007A3BC3" w:rsidRPr="00A97A0D" w:rsidTr="00AF2B88">
        <w:tc>
          <w:tcPr>
            <w:tcW w:w="4788" w:type="dxa"/>
            <w:gridSpan w:val="3"/>
          </w:tcPr>
          <w:p w:rsidR="007A3BC3" w:rsidRPr="00A97A0D" w:rsidRDefault="007A3BC3" w:rsidP="00A97A0D">
            <w:pPr>
              <w:spacing w:after="200" w:line="276" w:lineRule="auto"/>
              <w:rPr>
                <w:rFonts w:asciiTheme="minorHAnsi" w:hAnsiTheme="minorHAnsi"/>
                <w:lang w:val="en-AU"/>
              </w:rPr>
            </w:pPr>
            <w:r w:rsidRPr="00A97A0D">
              <w:rPr>
                <w:rFonts w:asciiTheme="minorHAnsi" w:hAnsiTheme="minorHAnsi"/>
                <w:lang w:val="en-AU"/>
              </w:rPr>
              <w:t>Mean adult age</w:t>
            </w:r>
          </w:p>
        </w:tc>
        <w:tc>
          <w:tcPr>
            <w:tcW w:w="1260" w:type="dxa"/>
          </w:tcPr>
          <w:p w:rsidR="007A3BC3" w:rsidRPr="00A97A0D" w:rsidRDefault="007A3BC3" w:rsidP="00A97A0D">
            <w:pPr>
              <w:spacing w:after="200" w:line="276" w:lineRule="auto"/>
              <w:rPr>
                <w:rFonts w:asciiTheme="minorHAnsi" w:hAnsiTheme="minorHAnsi"/>
                <w:lang w:val="en-AU"/>
              </w:rPr>
            </w:pPr>
            <w:r w:rsidRPr="00A97A0D">
              <w:rPr>
                <w:rFonts w:asciiTheme="minorHAnsi" w:hAnsiTheme="minorHAnsi"/>
                <w:lang w:val="en-AU"/>
              </w:rPr>
              <w:t>24</w:t>
            </w:r>
          </w:p>
        </w:tc>
        <w:tc>
          <w:tcPr>
            <w:tcW w:w="1260" w:type="dxa"/>
          </w:tcPr>
          <w:p w:rsidR="007A3BC3" w:rsidRPr="00A97A0D" w:rsidRDefault="007A3BC3" w:rsidP="00A97A0D">
            <w:pPr>
              <w:spacing w:after="200" w:line="276" w:lineRule="auto"/>
              <w:rPr>
                <w:rFonts w:asciiTheme="minorHAnsi" w:hAnsiTheme="minorHAnsi"/>
                <w:lang w:val="en-AU"/>
              </w:rPr>
            </w:pPr>
            <w:r w:rsidRPr="00A97A0D">
              <w:rPr>
                <w:rFonts w:asciiTheme="minorHAnsi" w:hAnsiTheme="minorHAnsi"/>
                <w:lang w:val="en-AU"/>
              </w:rPr>
              <w:t>44</w:t>
            </w:r>
          </w:p>
        </w:tc>
        <w:tc>
          <w:tcPr>
            <w:tcW w:w="1214" w:type="dxa"/>
          </w:tcPr>
          <w:p w:rsidR="007A3BC3" w:rsidRPr="00A97A0D" w:rsidRDefault="007A3BC3" w:rsidP="00A97A0D">
            <w:pPr>
              <w:spacing w:after="200" w:line="276" w:lineRule="auto"/>
              <w:rPr>
                <w:rFonts w:asciiTheme="minorHAnsi" w:hAnsiTheme="minorHAnsi"/>
                <w:bCs/>
                <w:lang w:val="en-AU"/>
              </w:rPr>
            </w:pPr>
            <w:r w:rsidRPr="00A97A0D">
              <w:rPr>
                <w:rFonts w:asciiTheme="minorHAnsi" w:hAnsiTheme="minorHAnsi"/>
                <w:bCs/>
                <w:lang w:val="en-AU"/>
              </w:rPr>
              <w:t>M [3]</w:t>
            </w:r>
          </w:p>
        </w:tc>
      </w:tr>
      <w:tr w:rsidR="007A3BC3" w:rsidRPr="00A97A0D" w:rsidTr="00AF2B88">
        <w:tc>
          <w:tcPr>
            <w:tcW w:w="4788" w:type="dxa"/>
            <w:gridSpan w:val="3"/>
          </w:tcPr>
          <w:p w:rsidR="007A3BC3" w:rsidRPr="00A97A0D" w:rsidRDefault="007A3BC3" w:rsidP="00A97A0D">
            <w:pPr>
              <w:spacing w:after="200" w:line="276" w:lineRule="auto"/>
              <w:rPr>
                <w:rFonts w:asciiTheme="minorHAnsi" w:hAnsiTheme="minorHAnsi"/>
                <w:lang w:val="en-AU"/>
              </w:rPr>
            </w:pPr>
            <w:r w:rsidRPr="00A97A0D">
              <w:rPr>
                <w:rFonts w:asciiTheme="minorHAnsi" w:hAnsiTheme="minorHAnsi"/>
                <w:lang w:val="en-AU"/>
              </w:rPr>
              <w:t>Pupal period</w:t>
            </w:r>
          </w:p>
        </w:tc>
        <w:tc>
          <w:tcPr>
            <w:tcW w:w="1260" w:type="dxa"/>
          </w:tcPr>
          <w:p w:rsidR="007A3BC3" w:rsidRPr="00A97A0D" w:rsidRDefault="007A3BC3" w:rsidP="00A97A0D">
            <w:pPr>
              <w:spacing w:after="200" w:line="276" w:lineRule="auto"/>
              <w:rPr>
                <w:rFonts w:asciiTheme="minorHAnsi" w:hAnsiTheme="minorHAnsi"/>
                <w:lang w:val="en-AU"/>
              </w:rPr>
            </w:pPr>
            <w:r w:rsidRPr="00A97A0D">
              <w:rPr>
                <w:rFonts w:asciiTheme="minorHAnsi" w:hAnsiTheme="minorHAnsi"/>
                <w:lang w:val="en-AU"/>
              </w:rPr>
              <w:t>28</w:t>
            </w:r>
          </w:p>
        </w:tc>
        <w:tc>
          <w:tcPr>
            <w:tcW w:w="1260" w:type="dxa"/>
          </w:tcPr>
          <w:p w:rsidR="007A3BC3" w:rsidRPr="00A97A0D" w:rsidRDefault="007A3BC3" w:rsidP="00A97A0D">
            <w:pPr>
              <w:spacing w:after="200" w:line="276" w:lineRule="auto"/>
              <w:rPr>
                <w:rFonts w:asciiTheme="minorHAnsi" w:hAnsiTheme="minorHAnsi"/>
                <w:lang w:val="en-AU"/>
              </w:rPr>
            </w:pPr>
            <w:r w:rsidRPr="00A97A0D">
              <w:rPr>
                <w:rFonts w:asciiTheme="minorHAnsi" w:hAnsiTheme="minorHAnsi"/>
                <w:lang w:val="en-AU"/>
              </w:rPr>
              <w:t>26</w:t>
            </w:r>
          </w:p>
        </w:tc>
        <w:tc>
          <w:tcPr>
            <w:tcW w:w="1214" w:type="dxa"/>
          </w:tcPr>
          <w:p w:rsidR="007A3BC3" w:rsidRPr="00A97A0D" w:rsidRDefault="007A3BC3" w:rsidP="00A97A0D">
            <w:pPr>
              <w:spacing w:after="200" w:line="276" w:lineRule="auto"/>
              <w:rPr>
                <w:rFonts w:asciiTheme="minorHAnsi" w:hAnsiTheme="minorHAnsi"/>
                <w:bCs/>
                <w:lang w:val="en-AU"/>
              </w:rPr>
            </w:pPr>
            <w:r w:rsidRPr="00A97A0D">
              <w:rPr>
                <w:rFonts w:asciiTheme="minorHAnsi" w:hAnsiTheme="minorHAnsi"/>
                <w:bCs/>
                <w:lang w:val="en-AU"/>
              </w:rPr>
              <w:t>[3]</w:t>
            </w:r>
          </w:p>
        </w:tc>
      </w:tr>
      <w:tr w:rsidR="007A3BC3" w:rsidRPr="00A97A0D" w:rsidTr="00AF2B88">
        <w:tc>
          <w:tcPr>
            <w:tcW w:w="4788" w:type="dxa"/>
            <w:gridSpan w:val="3"/>
          </w:tcPr>
          <w:p w:rsidR="007A3BC3" w:rsidRPr="00A97A0D" w:rsidRDefault="007A3BC3" w:rsidP="00A97A0D">
            <w:pPr>
              <w:spacing w:after="200" w:line="276" w:lineRule="auto"/>
              <w:rPr>
                <w:rFonts w:asciiTheme="minorHAnsi" w:hAnsiTheme="minorHAnsi"/>
                <w:lang w:val="en-AU"/>
              </w:rPr>
            </w:pPr>
            <w:r w:rsidRPr="00A97A0D">
              <w:rPr>
                <w:rFonts w:asciiTheme="minorHAnsi" w:hAnsiTheme="minorHAnsi"/>
                <w:lang w:val="en-AU"/>
              </w:rPr>
              <w:t>Age at sexual maturity</w:t>
            </w:r>
          </w:p>
        </w:tc>
        <w:tc>
          <w:tcPr>
            <w:tcW w:w="1260" w:type="dxa"/>
          </w:tcPr>
          <w:p w:rsidR="007A3BC3" w:rsidRPr="00A97A0D" w:rsidRDefault="007A3BC3" w:rsidP="00A97A0D">
            <w:pPr>
              <w:spacing w:after="200" w:line="276" w:lineRule="auto"/>
              <w:rPr>
                <w:rFonts w:asciiTheme="minorHAnsi" w:hAnsiTheme="minorHAnsi"/>
                <w:lang w:val="en-AU"/>
              </w:rPr>
            </w:pPr>
            <w:r w:rsidRPr="00A97A0D">
              <w:rPr>
                <w:rFonts w:asciiTheme="minorHAnsi" w:hAnsiTheme="minorHAnsi"/>
                <w:lang w:val="en-AU"/>
              </w:rPr>
              <w:t>5</w:t>
            </w:r>
          </w:p>
        </w:tc>
        <w:tc>
          <w:tcPr>
            <w:tcW w:w="1260" w:type="dxa"/>
          </w:tcPr>
          <w:p w:rsidR="007A3BC3" w:rsidRPr="00A97A0D" w:rsidRDefault="007A3BC3" w:rsidP="00A97A0D">
            <w:pPr>
              <w:spacing w:after="200" w:line="276" w:lineRule="auto"/>
              <w:rPr>
                <w:rFonts w:asciiTheme="minorHAnsi" w:hAnsiTheme="minorHAnsi"/>
                <w:lang w:val="en-AU"/>
              </w:rPr>
            </w:pPr>
            <w:r w:rsidRPr="00A97A0D">
              <w:rPr>
                <w:rFonts w:asciiTheme="minorHAnsi" w:hAnsiTheme="minorHAnsi"/>
                <w:lang w:val="en-AU"/>
              </w:rPr>
              <w:t>3</w:t>
            </w:r>
          </w:p>
        </w:tc>
        <w:tc>
          <w:tcPr>
            <w:tcW w:w="1214" w:type="dxa"/>
          </w:tcPr>
          <w:p w:rsidR="007A3BC3" w:rsidRPr="00A97A0D" w:rsidRDefault="007A3BC3" w:rsidP="00A97A0D">
            <w:pPr>
              <w:spacing w:after="200" w:line="276" w:lineRule="auto"/>
              <w:rPr>
                <w:rFonts w:asciiTheme="minorHAnsi" w:hAnsiTheme="minorHAnsi"/>
                <w:bCs/>
                <w:lang w:val="en-AU"/>
              </w:rPr>
            </w:pPr>
            <w:r w:rsidRPr="00A97A0D">
              <w:rPr>
                <w:rFonts w:asciiTheme="minorHAnsi" w:hAnsiTheme="minorHAnsi"/>
                <w:bCs/>
                <w:lang w:val="en-AU"/>
              </w:rPr>
              <w:t>[12]</w:t>
            </w:r>
          </w:p>
        </w:tc>
      </w:tr>
      <w:tr w:rsidR="007A3BC3" w:rsidRPr="00A97A0D" w:rsidTr="00AF2B88">
        <w:tc>
          <w:tcPr>
            <w:tcW w:w="4788" w:type="dxa"/>
            <w:gridSpan w:val="3"/>
          </w:tcPr>
          <w:p w:rsidR="007A3BC3" w:rsidRPr="00A97A0D" w:rsidRDefault="007A3BC3" w:rsidP="00A97A0D">
            <w:pPr>
              <w:spacing w:after="200" w:line="276" w:lineRule="auto"/>
              <w:rPr>
                <w:rFonts w:asciiTheme="minorHAnsi" w:hAnsiTheme="minorHAnsi"/>
                <w:lang w:val="en-AU"/>
              </w:rPr>
            </w:pPr>
            <w:r w:rsidRPr="00A97A0D">
              <w:rPr>
                <w:rFonts w:asciiTheme="minorHAnsi" w:hAnsiTheme="minorHAnsi"/>
                <w:lang w:val="en-AU"/>
              </w:rPr>
              <w:t>Age at production of first larva</w:t>
            </w:r>
          </w:p>
        </w:tc>
        <w:tc>
          <w:tcPr>
            <w:tcW w:w="1260" w:type="dxa"/>
          </w:tcPr>
          <w:p w:rsidR="007A3BC3" w:rsidRPr="00A97A0D" w:rsidRDefault="007A3BC3" w:rsidP="00A97A0D">
            <w:pPr>
              <w:spacing w:after="200" w:line="276" w:lineRule="auto"/>
              <w:rPr>
                <w:rFonts w:asciiTheme="minorHAnsi" w:hAnsiTheme="minorHAnsi"/>
                <w:lang w:val="en-AU"/>
              </w:rPr>
            </w:pPr>
            <w:r w:rsidRPr="00A97A0D">
              <w:rPr>
                <w:rFonts w:asciiTheme="minorHAnsi" w:hAnsiTheme="minorHAnsi"/>
                <w:lang w:val="en-AU"/>
              </w:rPr>
              <w:t>-</w:t>
            </w:r>
          </w:p>
        </w:tc>
        <w:tc>
          <w:tcPr>
            <w:tcW w:w="1260" w:type="dxa"/>
          </w:tcPr>
          <w:p w:rsidR="007A3BC3" w:rsidRPr="00A97A0D" w:rsidRDefault="007A3BC3" w:rsidP="00A97A0D">
            <w:pPr>
              <w:spacing w:after="200" w:line="276" w:lineRule="auto"/>
              <w:rPr>
                <w:rFonts w:asciiTheme="minorHAnsi" w:hAnsiTheme="minorHAnsi"/>
                <w:lang w:val="en-AU"/>
              </w:rPr>
            </w:pPr>
            <w:r w:rsidRPr="00A97A0D">
              <w:rPr>
                <w:rFonts w:asciiTheme="minorHAnsi" w:hAnsiTheme="minorHAnsi"/>
                <w:lang w:val="en-AU"/>
              </w:rPr>
              <w:t>16</w:t>
            </w:r>
          </w:p>
        </w:tc>
        <w:tc>
          <w:tcPr>
            <w:tcW w:w="1214" w:type="dxa"/>
          </w:tcPr>
          <w:p w:rsidR="007A3BC3" w:rsidRPr="00A97A0D" w:rsidRDefault="007A3BC3" w:rsidP="00A97A0D">
            <w:pPr>
              <w:spacing w:after="200" w:line="276" w:lineRule="auto"/>
              <w:rPr>
                <w:rFonts w:asciiTheme="minorHAnsi" w:hAnsiTheme="minorHAnsi"/>
                <w:bCs/>
                <w:lang w:val="en-AU"/>
              </w:rPr>
            </w:pPr>
            <w:r w:rsidRPr="00A97A0D">
              <w:rPr>
                <w:rFonts w:asciiTheme="minorHAnsi" w:hAnsiTheme="minorHAnsi"/>
                <w:bCs/>
                <w:lang w:val="en-AU"/>
              </w:rPr>
              <w:t>[3]</w:t>
            </w:r>
          </w:p>
        </w:tc>
      </w:tr>
      <w:tr w:rsidR="007A3BC3" w:rsidRPr="00A97A0D" w:rsidTr="00AF2B88">
        <w:tc>
          <w:tcPr>
            <w:tcW w:w="4788" w:type="dxa"/>
            <w:gridSpan w:val="3"/>
          </w:tcPr>
          <w:p w:rsidR="007A3BC3" w:rsidRPr="00A97A0D" w:rsidRDefault="007A3BC3" w:rsidP="00A97A0D">
            <w:pPr>
              <w:spacing w:after="200" w:line="276" w:lineRule="auto"/>
              <w:rPr>
                <w:rFonts w:asciiTheme="minorHAnsi" w:hAnsiTheme="minorHAnsi"/>
                <w:lang w:val="en-AU"/>
              </w:rPr>
            </w:pPr>
            <w:proofErr w:type="spellStart"/>
            <w:r w:rsidRPr="00A97A0D">
              <w:rPr>
                <w:rFonts w:asciiTheme="minorHAnsi" w:hAnsiTheme="minorHAnsi"/>
                <w:lang w:val="en-AU"/>
              </w:rPr>
              <w:t>Interlarval</w:t>
            </w:r>
            <w:proofErr w:type="spellEnd"/>
            <w:r w:rsidRPr="00A97A0D">
              <w:rPr>
                <w:rFonts w:asciiTheme="minorHAnsi" w:hAnsiTheme="minorHAnsi"/>
                <w:lang w:val="en-AU"/>
              </w:rPr>
              <w:t xml:space="preserve"> period</w:t>
            </w:r>
          </w:p>
        </w:tc>
        <w:tc>
          <w:tcPr>
            <w:tcW w:w="1260" w:type="dxa"/>
          </w:tcPr>
          <w:p w:rsidR="007A3BC3" w:rsidRPr="00A97A0D" w:rsidRDefault="007A3BC3" w:rsidP="00A97A0D">
            <w:pPr>
              <w:spacing w:after="200" w:line="276" w:lineRule="auto"/>
              <w:rPr>
                <w:rFonts w:asciiTheme="minorHAnsi" w:hAnsiTheme="minorHAnsi"/>
                <w:lang w:val="en-AU"/>
              </w:rPr>
            </w:pPr>
            <w:r w:rsidRPr="00A97A0D">
              <w:rPr>
                <w:rFonts w:asciiTheme="minorHAnsi" w:hAnsiTheme="minorHAnsi"/>
                <w:lang w:val="en-AU"/>
              </w:rPr>
              <w:t>-</w:t>
            </w:r>
          </w:p>
        </w:tc>
        <w:tc>
          <w:tcPr>
            <w:tcW w:w="1260" w:type="dxa"/>
          </w:tcPr>
          <w:p w:rsidR="007A3BC3" w:rsidRPr="00A97A0D" w:rsidRDefault="007A3BC3" w:rsidP="00A97A0D">
            <w:pPr>
              <w:spacing w:after="200" w:line="276" w:lineRule="auto"/>
              <w:rPr>
                <w:rFonts w:asciiTheme="minorHAnsi" w:hAnsiTheme="minorHAnsi"/>
                <w:lang w:val="en-AU"/>
              </w:rPr>
            </w:pPr>
            <w:r w:rsidRPr="00A97A0D">
              <w:rPr>
                <w:rFonts w:asciiTheme="minorHAnsi" w:hAnsiTheme="minorHAnsi"/>
                <w:lang w:val="en-AU"/>
              </w:rPr>
              <w:t>9</w:t>
            </w:r>
          </w:p>
        </w:tc>
        <w:tc>
          <w:tcPr>
            <w:tcW w:w="1214" w:type="dxa"/>
          </w:tcPr>
          <w:p w:rsidR="007A3BC3" w:rsidRPr="00A97A0D" w:rsidRDefault="007A3BC3" w:rsidP="00A97A0D">
            <w:pPr>
              <w:spacing w:after="200" w:line="276" w:lineRule="auto"/>
              <w:rPr>
                <w:rFonts w:asciiTheme="minorHAnsi" w:hAnsiTheme="minorHAnsi"/>
                <w:bCs/>
                <w:lang w:val="en-AU"/>
              </w:rPr>
            </w:pPr>
            <w:r w:rsidRPr="00A97A0D">
              <w:rPr>
                <w:rFonts w:asciiTheme="minorHAnsi" w:hAnsiTheme="minorHAnsi"/>
                <w:bCs/>
                <w:lang w:val="en-AU"/>
              </w:rPr>
              <w:t>[3]</w:t>
            </w:r>
          </w:p>
        </w:tc>
      </w:tr>
      <w:tr w:rsidR="007A3BC3" w:rsidRPr="00A97A0D" w:rsidTr="00AF2B88">
        <w:tc>
          <w:tcPr>
            <w:tcW w:w="4788" w:type="dxa"/>
            <w:gridSpan w:val="3"/>
          </w:tcPr>
          <w:p w:rsidR="007A3BC3" w:rsidRPr="00A97A0D" w:rsidRDefault="007A3BC3" w:rsidP="00A97A0D">
            <w:pPr>
              <w:spacing w:after="200" w:line="276" w:lineRule="auto"/>
              <w:rPr>
                <w:rFonts w:asciiTheme="minorHAnsi" w:hAnsiTheme="minorHAnsi"/>
                <w:lang w:val="en-AU"/>
              </w:rPr>
            </w:pPr>
            <w:r w:rsidRPr="00A97A0D">
              <w:rPr>
                <w:rFonts w:asciiTheme="minorHAnsi" w:hAnsiTheme="minorHAnsi"/>
                <w:lang w:val="en-AU"/>
              </w:rPr>
              <w:t>Maximum adult lifespan</w:t>
            </w:r>
          </w:p>
        </w:tc>
        <w:tc>
          <w:tcPr>
            <w:tcW w:w="1260" w:type="dxa"/>
          </w:tcPr>
          <w:p w:rsidR="007A3BC3" w:rsidRPr="00A97A0D" w:rsidRDefault="007A3BC3" w:rsidP="00A97A0D">
            <w:pPr>
              <w:spacing w:after="200" w:line="276" w:lineRule="auto"/>
              <w:rPr>
                <w:rFonts w:asciiTheme="minorHAnsi" w:hAnsiTheme="minorHAnsi"/>
                <w:lang w:val="en-AU"/>
              </w:rPr>
            </w:pPr>
            <w:r w:rsidRPr="00A97A0D">
              <w:rPr>
                <w:rFonts w:asciiTheme="minorHAnsi" w:hAnsiTheme="minorHAnsi"/>
                <w:lang w:val="en-AU"/>
              </w:rPr>
              <w:t>89</w:t>
            </w:r>
          </w:p>
        </w:tc>
        <w:tc>
          <w:tcPr>
            <w:tcW w:w="1260" w:type="dxa"/>
          </w:tcPr>
          <w:p w:rsidR="007A3BC3" w:rsidRPr="00A97A0D" w:rsidRDefault="007A3BC3" w:rsidP="00A97A0D">
            <w:pPr>
              <w:spacing w:after="200" w:line="276" w:lineRule="auto"/>
              <w:rPr>
                <w:rFonts w:asciiTheme="minorHAnsi" w:hAnsiTheme="minorHAnsi"/>
                <w:lang w:val="en-AU"/>
              </w:rPr>
            </w:pPr>
            <w:r w:rsidRPr="00A97A0D">
              <w:rPr>
                <w:rFonts w:asciiTheme="minorHAnsi" w:hAnsiTheme="minorHAnsi"/>
                <w:lang w:val="en-AU"/>
              </w:rPr>
              <w:t>178</w:t>
            </w:r>
          </w:p>
        </w:tc>
        <w:tc>
          <w:tcPr>
            <w:tcW w:w="1214" w:type="dxa"/>
          </w:tcPr>
          <w:p w:rsidR="007A3BC3" w:rsidRPr="00A97A0D" w:rsidRDefault="007A3BC3" w:rsidP="00A97A0D">
            <w:pPr>
              <w:spacing w:after="200" w:line="276" w:lineRule="auto"/>
              <w:rPr>
                <w:rFonts w:asciiTheme="minorHAnsi" w:hAnsiTheme="minorHAnsi"/>
                <w:lang w:val="en-AU"/>
              </w:rPr>
            </w:pPr>
            <w:r w:rsidRPr="00A97A0D">
              <w:rPr>
                <w:rFonts w:asciiTheme="minorHAnsi" w:hAnsiTheme="minorHAnsi"/>
                <w:lang w:val="en-AU"/>
              </w:rPr>
              <w:t>[12]</w:t>
            </w:r>
          </w:p>
        </w:tc>
      </w:tr>
      <w:tr w:rsidR="007A3BC3" w:rsidRPr="00A97A0D" w:rsidTr="00AF2B88">
        <w:tc>
          <w:tcPr>
            <w:tcW w:w="1368" w:type="dxa"/>
            <w:shd w:val="clear" w:color="auto" w:fill="auto"/>
          </w:tcPr>
          <w:p w:rsidR="007A3BC3" w:rsidRPr="00A97A0D" w:rsidRDefault="007A3BC3" w:rsidP="00A97A0D">
            <w:pPr>
              <w:spacing w:after="200" w:line="276" w:lineRule="auto"/>
              <w:rPr>
                <w:rFonts w:asciiTheme="minorHAnsi" w:hAnsiTheme="minorHAnsi"/>
                <w:lang w:val="en-AU"/>
              </w:rPr>
            </w:pPr>
            <w:r w:rsidRPr="00A97A0D">
              <w:rPr>
                <w:rFonts w:asciiTheme="minorHAnsi" w:hAnsiTheme="minorHAnsi"/>
                <w:lang w:val="en-AU"/>
              </w:rPr>
              <w:t>Death rates</w:t>
            </w:r>
          </w:p>
        </w:tc>
        <w:tc>
          <w:tcPr>
            <w:tcW w:w="3420" w:type="dxa"/>
            <w:gridSpan w:val="2"/>
            <w:shd w:val="clear" w:color="auto" w:fill="auto"/>
          </w:tcPr>
          <w:p w:rsidR="007A3BC3" w:rsidRPr="00A97A0D" w:rsidRDefault="007A3BC3" w:rsidP="00A97A0D">
            <w:pPr>
              <w:spacing w:after="200" w:line="276" w:lineRule="auto"/>
              <w:rPr>
                <w:rFonts w:asciiTheme="minorHAnsi" w:hAnsiTheme="minorHAnsi"/>
                <w:lang w:val="en-AU"/>
              </w:rPr>
            </w:pPr>
            <w:r w:rsidRPr="00A97A0D">
              <w:rPr>
                <w:rFonts w:asciiTheme="minorHAnsi" w:hAnsiTheme="minorHAnsi"/>
                <w:lang w:val="en-AU"/>
              </w:rPr>
              <w:t>Pupae per pupal period</w:t>
            </w:r>
          </w:p>
        </w:tc>
        <w:tc>
          <w:tcPr>
            <w:tcW w:w="1260" w:type="dxa"/>
          </w:tcPr>
          <w:p w:rsidR="007A3BC3" w:rsidRPr="00A97A0D" w:rsidRDefault="007A3BC3" w:rsidP="00A97A0D">
            <w:pPr>
              <w:spacing w:after="200" w:line="276" w:lineRule="auto"/>
              <w:rPr>
                <w:rFonts w:asciiTheme="minorHAnsi" w:hAnsiTheme="minorHAnsi"/>
                <w:lang w:val="en-AU"/>
              </w:rPr>
            </w:pPr>
            <w:r w:rsidRPr="00A97A0D">
              <w:rPr>
                <w:rFonts w:asciiTheme="minorHAnsi" w:hAnsiTheme="minorHAnsi"/>
                <w:lang w:val="en-AU"/>
              </w:rPr>
              <w:t>25</w:t>
            </w:r>
          </w:p>
        </w:tc>
        <w:tc>
          <w:tcPr>
            <w:tcW w:w="1260" w:type="dxa"/>
          </w:tcPr>
          <w:p w:rsidR="007A3BC3" w:rsidRPr="00A97A0D" w:rsidRDefault="007A3BC3" w:rsidP="00A97A0D">
            <w:pPr>
              <w:spacing w:after="200" w:line="276" w:lineRule="auto"/>
              <w:rPr>
                <w:rFonts w:asciiTheme="minorHAnsi" w:hAnsiTheme="minorHAnsi"/>
                <w:lang w:val="en-AU"/>
              </w:rPr>
            </w:pPr>
            <w:r w:rsidRPr="00A97A0D">
              <w:rPr>
                <w:rFonts w:asciiTheme="minorHAnsi" w:hAnsiTheme="minorHAnsi"/>
                <w:lang w:val="en-AU"/>
              </w:rPr>
              <w:t>25</w:t>
            </w:r>
          </w:p>
        </w:tc>
        <w:tc>
          <w:tcPr>
            <w:tcW w:w="1214" w:type="dxa"/>
          </w:tcPr>
          <w:p w:rsidR="007A3BC3" w:rsidRPr="00A97A0D" w:rsidRDefault="007A3BC3" w:rsidP="00A97A0D">
            <w:pPr>
              <w:spacing w:after="200" w:line="276" w:lineRule="auto"/>
              <w:rPr>
                <w:rFonts w:asciiTheme="minorHAnsi" w:hAnsiTheme="minorHAnsi"/>
                <w:lang w:val="en-AU"/>
              </w:rPr>
            </w:pPr>
            <w:r w:rsidRPr="00A97A0D">
              <w:rPr>
                <w:rFonts w:asciiTheme="minorHAnsi" w:hAnsiTheme="minorHAnsi"/>
                <w:lang w:val="en-AU"/>
              </w:rPr>
              <w:t>[3]</w:t>
            </w:r>
          </w:p>
        </w:tc>
      </w:tr>
      <w:tr w:rsidR="007A3BC3" w:rsidRPr="00A97A0D" w:rsidTr="00AF2B88">
        <w:tc>
          <w:tcPr>
            <w:tcW w:w="1368" w:type="dxa"/>
            <w:shd w:val="clear" w:color="auto" w:fill="auto"/>
          </w:tcPr>
          <w:p w:rsidR="007A3BC3" w:rsidRPr="00A97A0D" w:rsidRDefault="007A3BC3" w:rsidP="00A97A0D">
            <w:pPr>
              <w:spacing w:after="200" w:line="276" w:lineRule="auto"/>
              <w:rPr>
                <w:rFonts w:asciiTheme="minorHAnsi" w:hAnsiTheme="minorHAnsi"/>
                <w:lang w:val="en-AU"/>
              </w:rPr>
            </w:pPr>
          </w:p>
        </w:tc>
        <w:tc>
          <w:tcPr>
            <w:tcW w:w="3420" w:type="dxa"/>
            <w:gridSpan w:val="2"/>
            <w:shd w:val="clear" w:color="auto" w:fill="auto"/>
          </w:tcPr>
          <w:p w:rsidR="007A3BC3" w:rsidRPr="00A97A0D" w:rsidRDefault="007A3BC3" w:rsidP="00A97A0D">
            <w:pPr>
              <w:spacing w:after="200" w:line="276" w:lineRule="auto"/>
              <w:rPr>
                <w:rFonts w:asciiTheme="minorHAnsi" w:hAnsiTheme="minorHAnsi"/>
                <w:lang w:val="en-AU"/>
              </w:rPr>
            </w:pPr>
            <w:r w:rsidRPr="00A97A0D">
              <w:rPr>
                <w:rFonts w:asciiTheme="minorHAnsi" w:hAnsiTheme="minorHAnsi"/>
                <w:lang w:val="en-AU"/>
              </w:rPr>
              <w:t>Eggs/larvae per larval period</w:t>
            </w:r>
          </w:p>
        </w:tc>
        <w:tc>
          <w:tcPr>
            <w:tcW w:w="1260" w:type="dxa"/>
          </w:tcPr>
          <w:p w:rsidR="007A3BC3" w:rsidRPr="00A97A0D" w:rsidRDefault="007A3BC3" w:rsidP="00A97A0D">
            <w:pPr>
              <w:spacing w:after="200" w:line="276" w:lineRule="auto"/>
              <w:rPr>
                <w:rFonts w:asciiTheme="minorHAnsi" w:hAnsiTheme="minorHAnsi"/>
                <w:lang w:val="en-AU"/>
              </w:rPr>
            </w:pPr>
            <w:r w:rsidRPr="00A97A0D">
              <w:rPr>
                <w:rFonts w:asciiTheme="minorHAnsi" w:hAnsiTheme="minorHAnsi"/>
                <w:lang w:val="en-AU"/>
              </w:rPr>
              <w:t>5</w:t>
            </w:r>
          </w:p>
        </w:tc>
        <w:tc>
          <w:tcPr>
            <w:tcW w:w="1260" w:type="dxa"/>
          </w:tcPr>
          <w:p w:rsidR="007A3BC3" w:rsidRPr="00A97A0D" w:rsidRDefault="007A3BC3" w:rsidP="00A97A0D">
            <w:pPr>
              <w:spacing w:after="200" w:line="276" w:lineRule="auto"/>
              <w:rPr>
                <w:rFonts w:asciiTheme="minorHAnsi" w:hAnsiTheme="minorHAnsi"/>
                <w:lang w:val="en-AU"/>
              </w:rPr>
            </w:pPr>
            <w:r w:rsidRPr="00A97A0D">
              <w:rPr>
                <w:rFonts w:asciiTheme="minorHAnsi" w:hAnsiTheme="minorHAnsi"/>
                <w:lang w:val="en-AU"/>
              </w:rPr>
              <w:t>5</w:t>
            </w:r>
          </w:p>
        </w:tc>
        <w:tc>
          <w:tcPr>
            <w:tcW w:w="1214" w:type="dxa"/>
          </w:tcPr>
          <w:p w:rsidR="007A3BC3" w:rsidRPr="00A97A0D" w:rsidRDefault="007A3BC3" w:rsidP="00A97A0D">
            <w:pPr>
              <w:spacing w:after="200" w:line="276" w:lineRule="auto"/>
              <w:rPr>
                <w:rFonts w:asciiTheme="minorHAnsi" w:hAnsiTheme="minorHAnsi"/>
                <w:lang w:val="en-AU"/>
              </w:rPr>
            </w:pPr>
            <w:r w:rsidRPr="00A97A0D">
              <w:rPr>
                <w:rFonts w:asciiTheme="minorHAnsi" w:hAnsiTheme="minorHAnsi"/>
                <w:lang w:val="en-AU"/>
              </w:rPr>
              <w:t>[3]</w:t>
            </w:r>
          </w:p>
        </w:tc>
      </w:tr>
      <w:tr w:rsidR="007A3BC3" w:rsidRPr="00A97A0D" w:rsidTr="00AF2B88">
        <w:tc>
          <w:tcPr>
            <w:tcW w:w="1368" w:type="dxa"/>
            <w:shd w:val="clear" w:color="auto" w:fill="auto"/>
          </w:tcPr>
          <w:p w:rsidR="007A3BC3" w:rsidRPr="00A97A0D" w:rsidRDefault="007A3BC3" w:rsidP="00A97A0D">
            <w:pPr>
              <w:spacing w:after="200" w:line="276" w:lineRule="auto"/>
              <w:rPr>
                <w:rFonts w:asciiTheme="minorHAnsi" w:hAnsiTheme="minorHAnsi"/>
                <w:lang w:val="en-AU"/>
              </w:rPr>
            </w:pPr>
          </w:p>
        </w:tc>
        <w:tc>
          <w:tcPr>
            <w:tcW w:w="1620" w:type="dxa"/>
            <w:shd w:val="clear" w:color="auto" w:fill="auto"/>
          </w:tcPr>
          <w:p w:rsidR="007A3BC3" w:rsidRPr="00A97A0D" w:rsidRDefault="007A3BC3" w:rsidP="00A97A0D">
            <w:pPr>
              <w:spacing w:after="200" w:line="276" w:lineRule="auto"/>
              <w:rPr>
                <w:rFonts w:asciiTheme="minorHAnsi" w:hAnsiTheme="minorHAnsi"/>
                <w:lang w:val="en-AU"/>
              </w:rPr>
            </w:pPr>
            <w:r w:rsidRPr="00A97A0D">
              <w:rPr>
                <w:rFonts w:asciiTheme="minorHAnsi" w:hAnsiTheme="minorHAnsi"/>
                <w:lang w:val="en-AU"/>
              </w:rPr>
              <w:t>Adults per day</w:t>
            </w:r>
          </w:p>
        </w:tc>
        <w:tc>
          <w:tcPr>
            <w:tcW w:w="1800" w:type="dxa"/>
            <w:shd w:val="clear" w:color="auto" w:fill="auto"/>
          </w:tcPr>
          <w:p w:rsidR="007A3BC3" w:rsidRPr="00A97A0D" w:rsidRDefault="007A3BC3" w:rsidP="00A97A0D">
            <w:pPr>
              <w:spacing w:after="200" w:line="276" w:lineRule="auto"/>
              <w:rPr>
                <w:rFonts w:asciiTheme="minorHAnsi" w:hAnsiTheme="minorHAnsi"/>
                <w:lang w:val="en-AU"/>
              </w:rPr>
            </w:pPr>
            <w:r w:rsidRPr="00A97A0D">
              <w:rPr>
                <w:rFonts w:asciiTheme="minorHAnsi" w:hAnsiTheme="minorHAnsi"/>
                <w:lang w:val="en-AU"/>
              </w:rPr>
              <w:t>Average</w:t>
            </w:r>
          </w:p>
        </w:tc>
        <w:tc>
          <w:tcPr>
            <w:tcW w:w="1260" w:type="dxa"/>
          </w:tcPr>
          <w:p w:rsidR="007A3BC3" w:rsidRPr="00A97A0D" w:rsidRDefault="007A3BC3" w:rsidP="00A97A0D">
            <w:pPr>
              <w:spacing w:after="200" w:line="276" w:lineRule="auto"/>
              <w:rPr>
                <w:rFonts w:asciiTheme="minorHAnsi" w:hAnsiTheme="minorHAnsi"/>
                <w:lang w:val="en-AU"/>
              </w:rPr>
            </w:pPr>
            <w:r w:rsidRPr="00A97A0D">
              <w:rPr>
                <w:rFonts w:asciiTheme="minorHAnsi" w:hAnsiTheme="minorHAnsi"/>
                <w:lang w:val="en-AU"/>
              </w:rPr>
              <w:t>6.14</w:t>
            </w:r>
          </w:p>
        </w:tc>
        <w:tc>
          <w:tcPr>
            <w:tcW w:w="1260" w:type="dxa"/>
          </w:tcPr>
          <w:p w:rsidR="007A3BC3" w:rsidRPr="00A97A0D" w:rsidRDefault="007A3BC3" w:rsidP="00A97A0D">
            <w:pPr>
              <w:spacing w:after="200" w:line="276" w:lineRule="auto"/>
              <w:rPr>
                <w:rFonts w:asciiTheme="minorHAnsi" w:hAnsiTheme="minorHAnsi"/>
                <w:lang w:val="en-AU"/>
              </w:rPr>
            </w:pPr>
            <w:r w:rsidRPr="00A97A0D">
              <w:rPr>
                <w:rFonts w:asciiTheme="minorHAnsi" w:hAnsiTheme="minorHAnsi"/>
                <w:lang w:val="en-AU"/>
              </w:rPr>
              <w:t>3.07</w:t>
            </w:r>
          </w:p>
        </w:tc>
        <w:tc>
          <w:tcPr>
            <w:tcW w:w="1214" w:type="dxa"/>
          </w:tcPr>
          <w:p w:rsidR="007A3BC3" w:rsidRPr="00A97A0D" w:rsidRDefault="007A3BC3" w:rsidP="00A97A0D">
            <w:pPr>
              <w:spacing w:after="200" w:line="276" w:lineRule="auto"/>
              <w:rPr>
                <w:rFonts w:asciiTheme="minorHAnsi" w:hAnsiTheme="minorHAnsi"/>
                <w:lang w:val="en-AU"/>
              </w:rPr>
            </w:pPr>
            <w:r w:rsidRPr="00A97A0D">
              <w:rPr>
                <w:rFonts w:asciiTheme="minorHAnsi" w:hAnsiTheme="minorHAnsi"/>
                <w:lang w:val="en-AU"/>
              </w:rPr>
              <w:t>M [3]</w:t>
            </w:r>
          </w:p>
        </w:tc>
      </w:tr>
      <w:tr w:rsidR="007A3BC3" w:rsidRPr="00A97A0D" w:rsidTr="00AF2B88">
        <w:tc>
          <w:tcPr>
            <w:tcW w:w="1368" w:type="dxa"/>
            <w:shd w:val="clear" w:color="auto" w:fill="auto"/>
          </w:tcPr>
          <w:p w:rsidR="007A3BC3" w:rsidRPr="00A97A0D" w:rsidRDefault="007A3BC3" w:rsidP="00A97A0D">
            <w:pPr>
              <w:spacing w:after="200" w:line="276" w:lineRule="auto"/>
              <w:rPr>
                <w:rFonts w:asciiTheme="minorHAnsi" w:hAnsiTheme="minorHAnsi"/>
                <w:lang w:val="en-AU"/>
              </w:rPr>
            </w:pPr>
          </w:p>
        </w:tc>
        <w:tc>
          <w:tcPr>
            <w:tcW w:w="1620" w:type="dxa"/>
            <w:shd w:val="clear" w:color="auto" w:fill="auto"/>
          </w:tcPr>
          <w:p w:rsidR="007A3BC3" w:rsidRPr="00A97A0D" w:rsidRDefault="007A3BC3" w:rsidP="00A97A0D">
            <w:pPr>
              <w:spacing w:after="200" w:line="276" w:lineRule="auto"/>
              <w:rPr>
                <w:rFonts w:asciiTheme="minorHAnsi" w:hAnsiTheme="minorHAnsi"/>
                <w:lang w:val="en-AU"/>
              </w:rPr>
            </w:pPr>
          </w:p>
        </w:tc>
        <w:tc>
          <w:tcPr>
            <w:tcW w:w="1800" w:type="dxa"/>
            <w:shd w:val="clear" w:color="auto" w:fill="auto"/>
          </w:tcPr>
          <w:p w:rsidR="007A3BC3" w:rsidRPr="00A97A0D" w:rsidRDefault="007A3BC3" w:rsidP="00A97A0D">
            <w:pPr>
              <w:spacing w:after="200" w:line="276" w:lineRule="auto"/>
              <w:rPr>
                <w:rFonts w:asciiTheme="minorHAnsi" w:hAnsiTheme="minorHAnsi"/>
                <w:lang w:val="en-AU"/>
              </w:rPr>
            </w:pPr>
            <w:r w:rsidRPr="00A97A0D">
              <w:rPr>
                <w:rFonts w:asciiTheme="minorHAnsi" w:hAnsiTheme="minorHAnsi"/>
                <w:lang w:val="en-AU"/>
              </w:rPr>
              <w:t>First day</w:t>
            </w:r>
          </w:p>
        </w:tc>
        <w:tc>
          <w:tcPr>
            <w:tcW w:w="1260" w:type="dxa"/>
          </w:tcPr>
          <w:p w:rsidR="007A3BC3" w:rsidRPr="00A97A0D" w:rsidRDefault="007A3BC3" w:rsidP="00A97A0D">
            <w:pPr>
              <w:spacing w:after="200" w:line="276" w:lineRule="auto"/>
              <w:rPr>
                <w:rFonts w:asciiTheme="minorHAnsi" w:hAnsiTheme="minorHAnsi"/>
                <w:lang w:val="en-AU"/>
              </w:rPr>
            </w:pPr>
            <w:r w:rsidRPr="00A97A0D">
              <w:rPr>
                <w:rFonts w:asciiTheme="minorHAnsi" w:hAnsiTheme="minorHAnsi"/>
                <w:lang w:val="en-AU"/>
              </w:rPr>
              <w:t>14.21</w:t>
            </w:r>
          </w:p>
        </w:tc>
        <w:tc>
          <w:tcPr>
            <w:tcW w:w="1260" w:type="dxa"/>
          </w:tcPr>
          <w:p w:rsidR="007A3BC3" w:rsidRPr="00A97A0D" w:rsidRDefault="007A3BC3" w:rsidP="00A97A0D">
            <w:pPr>
              <w:spacing w:after="200" w:line="276" w:lineRule="auto"/>
              <w:rPr>
                <w:rFonts w:asciiTheme="minorHAnsi" w:hAnsiTheme="minorHAnsi"/>
                <w:lang w:val="en-AU"/>
              </w:rPr>
            </w:pPr>
            <w:r w:rsidRPr="00A97A0D">
              <w:rPr>
                <w:rFonts w:asciiTheme="minorHAnsi" w:hAnsiTheme="minorHAnsi"/>
                <w:lang w:val="en-AU"/>
              </w:rPr>
              <w:t>13.62</w:t>
            </w:r>
          </w:p>
        </w:tc>
        <w:tc>
          <w:tcPr>
            <w:tcW w:w="1214" w:type="dxa"/>
          </w:tcPr>
          <w:p w:rsidR="007A3BC3" w:rsidRPr="00A97A0D" w:rsidRDefault="007A3BC3" w:rsidP="00A97A0D">
            <w:pPr>
              <w:spacing w:after="200" w:line="276" w:lineRule="auto"/>
              <w:rPr>
                <w:rFonts w:asciiTheme="minorHAnsi" w:hAnsiTheme="minorHAnsi"/>
                <w:lang w:val="en-AU"/>
              </w:rPr>
            </w:pPr>
            <w:r w:rsidRPr="00A97A0D">
              <w:rPr>
                <w:rFonts w:asciiTheme="minorHAnsi" w:hAnsiTheme="minorHAnsi"/>
                <w:lang w:val="en-AU"/>
              </w:rPr>
              <w:t>M [3]</w:t>
            </w:r>
          </w:p>
        </w:tc>
      </w:tr>
      <w:tr w:rsidR="007A3BC3" w:rsidRPr="00A97A0D" w:rsidTr="00AF2B88">
        <w:tc>
          <w:tcPr>
            <w:tcW w:w="1368" w:type="dxa"/>
            <w:shd w:val="clear" w:color="auto" w:fill="auto"/>
          </w:tcPr>
          <w:p w:rsidR="007A3BC3" w:rsidRPr="00A97A0D" w:rsidRDefault="007A3BC3" w:rsidP="00A97A0D">
            <w:pPr>
              <w:spacing w:after="200" w:line="276" w:lineRule="auto"/>
              <w:rPr>
                <w:rFonts w:asciiTheme="minorHAnsi" w:hAnsiTheme="minorHAnsi"/>
                <w:lang w:val="en-AU"/>
              </w:rPr>
            </w:pPr>
          </w:p>
        </w:tc>
        <w:tc>
          <w:tcPr>
            <w:tcW w:w="1620" w:type="dxa"/>
            <w:shd w:val="clear" w:color="auto" w:fill="auto"/>
          </w:tcPr>
          <w:p w:rsidR="007A3BC3" w:rsidRPr="00A97A0D" w:rsidRDefault="007A3BC3" w:rsidP="00A97A0D">
            <w:pPr>
              <w:spacing w:after="200" w:line="276" w:lineRule="auto"/>
              <w:rPr>
                <w:rFonts w:asciiTheme="minorHAnsi" w:hAnsiTheme="minorHAnsi"/>
                <w:lang w:val="en-AU"/>
              </w:rPr>
            </w:pPr>
          </w:p>
        </w:tc>
        <w:tc>
          <w:tcPr>
            <w:tcW w:w="1800" w:type="dxa"/>
            <w:shd w:val="clear" w:color="auto" w:fill="auto"/>
          </w:tcPr>
          <w:p w:rsidR="007A3BC3" w:rsidRPr="00A97A0D" w:rsidRDefault="007A3BC3" w:rsidP="00A97A0D">
            <w:pPr>
              <w:spacing w:after="200" w:line="276" w:lineRule="auto"/>
              <w:rPr>
                <w:rFonts w:asciiTheme="minorHAnsi" w:hAnsiTheme="minorHAnsi"/>
                <w:lang w:val="en-AU"/>
              </w:rPr>
            </w:pPr>
            <w:r w:rsidRPr="00A97A0D">
              <w:rPr>
                <w:rFonts w:asciiTheme="minorHAnsi" w:hAnsiTheme="minorHAnsi"/>
                <w:lang w:val="en-AU"/>
              </w:rPr>
              <w:t>Young adult</w:t>
            </w:r>
          </w:p>
        </w:tc>
        <w:tc>
          <w:tcPr>
            <w:tcW w:w="1260" w:type="dxa"/>
          </w:tcPr>
          <w:p w:rsidR="007A3BC3" w:rsidRPr="00A97A0D" w:rsidRDefault="007A3BC3" w:rsidP="00A97A0D">
            <w:pPr>
              <w:spacing w:after="200" w:line="276" w:lineRule="auto"/>
              <w:rPr>
                <w:rFonts w:asciiTheme="minorHAnsi" w:hAnsiTheme="minorHAnsi"/>
                <w:lang w:val="en-AU"/>
              </w:rPr>
            </w:pPr>
            <w:r w:rsidRPr="00A97A0D">
              <w:rPr>
                <w:rFonts w:asciiTheme="minorHAnsi" w:hAnsiTheme="minorHAnsi"/>
                <w:lang w:val="en-AU"/>
              </w:rPr>
              <w:t>2.84</w:t>
            </w:r>
          </w:p>
        </w:tc>
        <w:tc>
          <w:tcPr>
            <w:tcW w:w="1260" w:type="dxa"/>
          </w:tcPr>
          <w:p w:rsidR="007A3BC3" w:rsidRPr="00A97A0D" w:rsidRDefault="007A3BC3" w:rsidP="00A97A0D">
            <w:pPr>
              <w:spacing w:after="200" w:line="276" w:lineRule="auto"/>
              <w:rPr>
                <w:rFonts w:asciiTheme="minorHAnsi" w:hAnsiTheme="minorHAnsi"/>
                <w:lang w:val="en-AU"/>
              </w:rPr>
            </w:pPr>
            <w:r w:rsidRPr="00A97A0D">
              <w:rPr>
                <w:rFonts w:asciiTheme="minorHAnsi" w:hAnsiTheme="minorHAnsi"/>
                <w:lang w:val="en-AU"/>
              </w:rPr>
              <w:t>1.36</w:t>
            </w:r>
          </w:p>
        </w:tc>
        <w:tc>
          <w:tcPr>
            <w:tcW w:w="1214" w:type="dxa"/>
          </w:tcPr>
          <w:p w:rsidR="007A3BC3" w:rsidRPr="00A97A0D" w:rsidRDefault="007A3BC3" w:rsidP="00A97A0D">
            <w:pPr>
              <w:spacing w:after="200" w:line="276" w:lineRule="auto"/>
              <w:rPr>
                <w:rFonts w:asciiTheme="minorHAnsi" w:hAnsiTheme="minorHAnsi"/>
                <w:lang w:val="en-AU"/>
              </w:rPr>
            </w:pPr>
            <w:r w:rsidRPr="00A97A0D">
              <w:rPr>
                <w:rFonts w:asciiTheme="minorHAnsi" w:hAnsiTheme="minorHAnsi"/>
                <w:lang w:val="en-AU"/>
              </w:rPr>
              <w:t>M [3]</w:t>
            </w:r>
          </w:p>
        </w:tc>
      </w:tr>
      <w:tr w:rsidR="007A3BC3" w:rsidRPr="00A97A0D" w:rsidTr="00AF2B88">
        <w:tc>
          <w:tcPr>
            <w:tcW w:w="1368" w:type="dxa"/>
            <w:shd w:val="clear" w:color="auto" w:fill="auto"/>
          </w:tcPr>
          <w:p w:rsidR="007A3BC3" w:rsidRPr="00A97A0D" w:rsidRDefault="007A3BC3" w:rsidP="00A97A0D">
            <w:pPr>
              <w:spacing w:after="200" w:line="276" w:lineRule="auto"/>
              <w:rPr>
                <w:rFonts w:asciiTheme="minorHAnsi" w:hAnsiTheme="minorHAnsi"/>
                <w:lang w:val="en-AU"/>
              </w:rPr>
            </w:pPr>
          </w:p>
        </w:tc>
        <w:tc>
          <w:tcPr>
            <w:tcW w:w="1620" w:type="dxa"/>
            <w:shd w:val="clear" w:color="auto" w:fill="auto"/>
          </w:tcPr>
          <w:p w:rsidR="007A3BC3" w:rsidRPr="00A97A0D" w:rsidRDefault="007A3BC3" w:rsidP="00A97A0D">
            <w:pPr>
              <w:spacing w:after="200" w:line="276" w:lineRule="auto"/>
              <w:rPr>
                <w:rFonts w:asciiTheme="minorHAnsi" w:hAnsiTheme="minorHAnsi"/>
                <w:lang w:val="en-AU"/>
              </w:rPr>
            </w:pPr>
          </w:p>
        </w:tc>
        <w:tc>
          <w:tcPr>
            <w:tcW w:w="1800" w:type="dxa"/>
            <w:shd w:val="clear" w:color="auto" w:fill="auto"/>
          </w:tcPr>
          <w:p w:rsidR="007A3BC3" w:rsidRPr="00A97A0D" w:rsidRDefault="007A3BC3" w:rsidP="00A97A0D">
            <w:pPr>
              <w:spacing w:after="200" w:line="276" w:lineRule="auto"/>
              <w:rPr>
                <w:rFonts w:asciiTheme="minorHAnsi" w:hAnsiTheme="minorHAnsi"/>
                <w:lang w:val="en-AU"/>
              </w:rPr>
            </w:pPr>
            <w:r w:rsidRPr="00A97A0D">
              <w:rPr>
                <w:rFonts w:asciiTheme="minorHAnsi" w:hAnsiTheme="minorHAnsi"/>
                <w:lang w:val="en-AU"/>
              </w:rPr>
              <w:t>Last day</w:t>
            </w:r>
          </w:p>
        </w:tc>
        <w:tc>
          <w:tcPr>
            <w:tcW w:w="1260" w:type="dxa"/>
          </w:tcPr>
          <w:p w:rsidR="007A3BC3" w:rsidRPr="00A97A0D" w:rsidRDefault="007A3BC3" w:rsidP="00A97A0D">
            <w:pPr>
              <w:spacing w:after="200" w:line="276" w:lineRule="auto"/>
              <w:rPr>
                <w:rFonts w:asciiTheme="minorHAnsi" w:hAnsiTheme="minorHAnsi"/>
                <w:lang w:val="en-AU"/>
              </w:rPr>
            </w:pPr>
            <w:r w:rsidRPr="00A97A0D">
              <w:rPr>
                <w:rFonts w:asciiTheme="minorHAnsi" w:hAnsiTheme="minorHAnsi"/>
                <w:lang w:val="en-AU"/>
              </w:rPr>
              <w:t>8.52</w:t>
            </w:r>
          </w:p>
        </w:tc>
        <w:tc>
          <w:tcPr>
            <w:tcW w:w="1260" w:type="dxa"/>
          </w:tcPr>
          <w:p w:rsidR="007A3BC3" w:rsidRPr="00A97A0D" w:rsidRDefault="007A3BC3" w:rsidP="00A97A0D">
            <w:pPr>
              <w:spacing w:after="200" w:line="276" w:lineRule="auto"/>
              <w:rPr>
                <w:rFonts w:asciiTheme="minorHAnsi" w:hAnsiTheme="minorHAnsi"/>
                <w:lang w:val="en-AU"/>
              </w:rPr>
            </w:pPr>
            <w:r w:rsidRPr="00A97A0D">
              <w:rPr>
                <w:rFonts w:asciiTheme="minorHAnsi" w:hAnsiTheme="minorHAnsi"/>
                <w:lang w:val="en-AU"/>
              </w:rPr>
              <w:t>4.09</w:t>
            </w:r>
          </w:p>
        </w:tc>
        <w:tc>
          <w:tcPr>
            <w:tcW w:w="1214" w:type="dxa"/>
          </w:tcPr>
          <w:p w:rsidR="007A3BC3" w:rsidRPr="00A97A0D" w:rsidRDefault="007A3BC3" w:rsidP="00A97A0D">
            <w:pPr>
              <w:spacing w:after="200" w:line="276" w:lineRule="auto"/>
              <w:rPr>
                <w:rFonts w:asciiTheme="minorHAnsi" w:hAnsiTheme="minorHAnsi"/>
                <w:lang w:val="en-AU"/>
              </w:rPr>
            </w:pPr>
            <w:r w:rsidRPr="00A97A0D">
              <w:rPr>
                <w:rFonts w:asciiTheme="minorHAnsi" w:hAnsiTheme="minorHAnsi"/>
                <w:lang w:val="en-AU"/>
              </w:rPr>
              <w:t>M [3]</w:t>
            </w:r>
          </w:p>
        </w:tc>
      </w:tr>
      <w:tr w:rsidR="007A3BC3" w:rsidRPr="00A97A0D" w:rsidTr="00AF2B88">
        <w:tc>
          <w:tcPr>
            <w:tcW w:w="4788" w:type="dxa"/>
            <w:gridSpan w:val="3"/>
          </w:tcPr>
          <w:p w:rsidR="007A3BC3" w:rsidRPr="00A97A0D" w:rsidRDefault="007A3BC3" w:rsidP="00A97A0D">
            <w:pPr>
              <w:spacing w:after="200" w:line="276" w:lineRule="auto"/>
              <w:rPr>
                <w:rFonts w:asciiTheme="minorHAnsi" w:hAnsiTheme="minorHAnsi"/>
                <w:lang w:val="en-AU"/>
              </w:rPr>
            </w:pPr>
            <w:r w:rsidRPr="00A97A0D">
              <w:rPr>
                <w:rFonts w:asciiTheme="minorHAnsi" w:hAnsiTheme="minorHAnsi"/>
                <w:lang w:val="en-AU"/>
              </w:rPr>
              <w:t>Average daily displacement</w:t>
            </w:r>
            <w:r w:rsidR="0003110A" w:rsidRPr="00A97A0D">
              <w:rPr>
                <w:rFonts w:asciiTheme="minorHAnsi" w:hAnsiTheme="minorHAnsi"/>
                <w:lang w:val="en-AU"/>
              </w:rPr>
              <w:t xml:space="preserve">, </w:t>
            </w:r>
            <w:r w:rsidRPr="00A97A0D">
              <w:rPr>
                <w:rFonts w:asciiTheme="minorHAnsi" w:hAnsiTheme="minorHAnsi"/>
                <w:lang w:val="en-AU"/>
              </w:rPr>
              <w:t>metres</w:t>
            </w:r>
          </w:p>
        </w:tc>
        <w:tc>
          <w:tcPr>
            <w:tcW w:w="1260" w:type="dxa"/>
          </w:tcPr>
          <w:p w:rsidR="007A3BC3" w:rsidRPr="00A97A0D" w:rsidRDefault="007A3BC3" w:rsidP="00A97A0D">
            <w:pPr>
              <w:spacing w:after="200" w:line="276" w:lineRule="auto"/>
              <w:rPr>
                <w:rFonts w:asciiTheme="minorHAnsi" w:hAnsiTheme="minorHAnsi"/>
                <w:lang w:val="en-AU"/>
              </w:rPr>
            </w:pPr>
            <w:r w:rsidRPr="00A97A0D">
              <w:rPr>
                <w:rFonts w:asciiTheme="minorHAnsi" w:hAnsiTheme="minorHAnsi"/>
                <w:lang w:val="en-AU"/>
              </w:rPr>
              <w:t>300</w:t>
            </w:r>
          </w:p>
        </w:tc>
        <w:tc>
          <w:tcPr>
            <w:tcW w:w="1260" w:type="dxa"/>
          </w:tcPr>
          <w:p w:rsidR="007A3BC3" w:rsidRPr="00A97A0D" w:rsidRDefault="007A3BC3" w:rsidP="00A97A0D">
            <w:pPr>
              <w:spacing w:after="200" w:line="276" w:lineRule="auto"/>
              <w:rPr>
                <w:rFonts w:asciiTheme="minorHAnsi" w:hAnsiTheme="minorHAnsi"/>
                <w:lang w:val="en-AU"/>
              </w:rPr>
            </w:pPr>
            <w:r w:rsidRPr="00A97A0D">
              <w:rPr>
                <w:rFonts w:asciiTheme="minorHAnsi" w:hAnsiTheme="minorHAnsi"/>
                <w:lang w:val="en-AU"/>
              </w:rPr>
              <w:t>300</w:t>
            </w:r>
          </w:p>
        </w:tc>
        <w:tc>
          <w:tcPr>
            <w:tcW w:w="1214" w:type="dxa"/>
          </w:tcPr>
          <w:p w:rsidR="007A3BC3" w:rsidRPr="00A97A0D" w:rsidRDefault="007A3BC3" w:rsidP="00A97A0D">
            <w:pPr>
              <w:spacing w:after="200" w:line="276" w:lineRule="auto"/>
              <w:rPr>
                <w:rFonts w:asciiTheme="minorHAnsi" w:hAnsiTheme="minorHAnsi"/>
                <w:lang w:val="en-AU"/>
              </w:rPr>
            </w:pPr>
            <w:r w:rsidRPr="00A97A0D">
              <w:rPr>
                <w:rFonts w:asciiTheme="minorHAnsi" w:hAnsiTheme="minorHAnsi"/>
                <w:lang w:val="en-AU"/>
              </w:rPr>
              <w:t>[6]</w:t>
            </w:r>
          </w:p>
        </w:tc>
      </w:tr>
    </w:tbl>
    <w:p w:rsidR="007A3BC3" w:rsidRPr="00A97A0D" w:rsidRDefault="007A3BC3" w:rsidP="00A97A0D">
      <w:pPr>
        <w:rPr>
          <w:lang w:val="en-AU"/>
        </w:rPr>
      </w:pPr>
    </w:p>
    <w:p w:rsidR="007A3BC3" w:rsidRPr="00A97A0D" w:rsidRDefault="007A3BC3" w:rsidP="00A97A0D">
      <w:pPr>
        <w:rPr>
          <w:lang w:val="en-AU"/>
        </w:rPr>
      </w:pPr>
      <w:r w:rsidRPr="00A97A0D">
        <w:rPr>
          <w:lang w:val="en-AU"/>
        </w:rPr>
        <w:t xml:space="preserve">All times and ages are in days. Death rates are the natural rates quoted as </w:t>
      </w:r>
      <w:proofErr w:type="spellStart"/>
      <w:r w:rsidRPr="00A97A0D">
        <w:rPr>
          <w:lang w:val="en-AU"/>
        </w:rPr>
        <w:t>percents</w:t>
      </w:r>
      <w:proofErr w:type="spellEnd"/>
      <w:r w:rsidRPr="00A97A0D">
        <w:rPr>
          <w:lang w:val="en-AU"/>
        </w:rPr>
        <w:t>; they varied with age, as discussed in the text. Young adults were males 10-15 days old and females 10-50 days old. Average daily displacement shown refers to young adults. It varied according to age,  as indicated in the text. Where M occurs in the source list, the exact value was calculated by the model itself but is within the range expected from published data.</w:t>
      </w:r>
    </w:p>
    <w:p w:rsidR="007A3BC3" w:rsidRPr="00A97A0D" w:rsidRDefault="007A3BC3" w:rsidP="00A97A0D">
      <w:pPr>
        <w:rPr>
          <w:lang w:val="en-AU"/>
        </w:rPr>
      </w:pPr>
    </w:p>
    <w:p w:rsidR="003456EF" w:rsidRPr="00A97A0D" w:rsidRDefault="003456EF" w:rsidP="00A97A0D">
      <w:pPr>
        <w:rPr>
          <w:rFonts w:cs="Arial"/>
          <w:noProof/>
        </w:rPr>
      </w:pPr>
      <w:r w:rsidRPr="00A97A0D">
        <w:rPr>
          <w:rFonts w:cs="Arial"/>
          <w:noProof/>
        </w:rPr>
        <w:br w:type="page"/>
      </w:r>
    </w:p>
    <w:p w:rsidR="003456EF" w:rsidRPr="00A97A0D" w:rsidRDefault="005B12FA" w:rsidP="00A97A0D">
      <w:pPr>
        <w:jc w:val="center"/>
        <w:rPr>
          <w:b/>
        </w:rPr>
      </w:pPr>
      <w:r w:rsidRPr="00A97A0D">
        <w:rPr>
          <w:b/>
        </w:rPr>
        <w:lastRenderedPageBreak/>
        <w:t xml:space="preserve">S2: </w:t>
      </w:r>
      <w:r w:rsidR="003456EF" w:rsidRPr="00A97A0D">
        <w:rPr>
          <w:b/>
        </w:rPr>
        <w:t>Effective life of tiny targets: effects of weathering on attractiveness</w:t>
      </w:r>
    </w:p>
    <w:p w:rsidR="003456EF" w:rsidRPr="00A97A0D" w:rsidRDefault="003456EF" w:rsidP="00A97A0D">
      <w:r w:rsidRPr="00A97A0D">
        <w:t>There was no significant difference in the catch of tsetse from e-targets made using cloth and netting taken new and old ‘tiny targets’ produced by Vestergaard-Frandsen or a Standard target (Table</w:t>
      </w:r>
      <w:r w:rsidR="002E4A77">
        <w:t xml:space="preserve"> B</w:t>
      </w:r>
      <w:r w:rsidRPr="00A97A0D">
        <w:t xml:space="preserve">).  The cloth and netting panels from tiny targets </w:t>
      </w:r>
      <w:r w:rsidR="0003110A" w:rsidRPr="00A97A0D">
        <w:t xml:space="preserve">were </w:t>
      </w:r>
      <w:r w:rsidRPr="00A97A0D">
        <w:t>made from blue polyester and black polyethylene</w:t>
      </w:r>
      <w:r w:rsidR="0003110A" w:rsidRPr="00A97A0D">
        <w:t>, as against</w:t>
      </w:r>
      <w:r w:rsidRPr="00A97A0D">
        <w:t xml:space="preserve"> </w:t>
      </w:r>
      <w:proofErr w:type="spellStart"/>
      <w:r w:rsidRPr="00A97A0D">
        <w:t>p</w:t>
      </w:r>
      <w:r w:rsidR="00A97A0D" w:rsidRPr="00A97A0D">
        <w:t>h</w:t>
      </w:r>
      <w:r w:rsidRPr="00A97A0D">
        <w:t>thalogen</w:t>
      </w:r>
      <w:proofErr w:type="spellEnd"/>
      <w:r w:rsidRPr="00A97A0D">
        <w:t xml:space="preserve"> blue cotton and fine black polyester netting for the Standard target.  The Standard target has been used in previous studies of various coloured targets (Lindh </w:t>
      </w:r>
      <w:r w:rsidRPr="00A97A0D">
        <w:rPr>
          <w:i/>
        </w:rPr>
        <w:t>et al</w:t>
      </w:r>
      <w:r w:rsidRPr="00A97A0D">
        <w:t xml:space="preserve">., 2012). </w:t>
      </w:r>
    </w:p>
    <w:p w:rsidR="003456EF" w:rsidRPr="00A97A0D" w:rsidRDefault="003456EF" w:rsidP="00A97A0D">
      <w:pPr>
        <w:jc w:val="center"/>
        <w:rPr>
          <w:b/>
        </w:rPr>
      </w:pPr>
    </w:p>
    <w:p w:rsidR="003456EF" w:rsidRPr="00A97A0D" w:rsidRDefault="003456EF" w:rsidP="00A97A0D">
      <w:bookmarkStart w:id="3" w:name="_GoBack"/>
      <w:r w:rsidRPr="00A97A0D">
        <w:t>Table</w:t>
      </w:r>
      <w:bookmarkEnd w:id="3"/>
      <w:r w:rsidR="00290262">
        <w:t xml:space="preserve"> </w:t>
      </w:r>
      <w:r w:rsidR="002E4A77">
        <w:t>B</w:t>
      </w:r>
      <w:r w:rsidRPr="00A97A0D">
        <w:t xml:space="preserve">.  </w:t>
      </w:r>
      <w:proofErr w:type="spellStart"/>
      <w:r w:rsidRPr="00A97A0D">
        <w:t>Detransformed</w:t>
      </w:r>
      <w:proofErr w:type="spellEnd"/>
      <w:r w:rsidRPr="00A97A0D">
        <w:t xml:space="preserve"> mean daily catch (</w:t>
      </w:r>
      <w:proofErr w:type="spellStart"/>
      <w:r w:rsidRPr="00A97A0D">
        <w:t>detransformed</w:t>
      </w:r>
      <w:proofErr w:type="spellEnd"/>
      <w:r w:rsidRPr="00A97A0D">
        <w:t xml:space="preserve"> mean ±95% CI in brackets) of </w:t>
      </w:r>
      <w:r w:rsidRPr="00A97A0D">
        <w:rPr>
          <w:i/>
        </w:rPr>
        <w:t xml:space="preserve">G. f. </w:t>
      </w:r>
      <w:proofErr w:type="spellStart"/>
      <w:r w:rsidRPr="00A97A0D">
        <w:rPr>
          <w:i/>
        </w:rPr>
        <w:t>fuscipes</w:t>
      </w:r>
      <w:proofErr w:type="spellEnd"/>
      <w:r w:rsidRPr="00A97A0D">
        <w:t xml:space="preserve"> from Standard, New and Old e-targets. </w:t>
      </w:r>
    </w:p>
    <w:tbl>
      <w:tblPr>
        <w:tblStyle w:val="LightShading"/>
        <w:tblW w:w="0" w:type="auto"/>
        <w:jc w:val="center"/>
        <w:tblLook w:val="04A0" w:firstRow="1" w:lastRow="0" w:firstColumn="1" w:lastColumn="0" w:noHBand="0" w:noVBand="1"/>
      </w:tblPr>
      <w:tblGrid>
        <w:gridCol w:w="1819"/>
        <w:gridCol w:w="2496"/>
        <w:gridCol w:w="960"/>
        <w:gridCol w:w="2608"/>
      </w:tblGrid>
      <w:tr w:rsidR="003456EF" w:rsidRPr="00A97A0D" w:rsidTr="00A97A0D">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19" w:type="dxa"/>
            <w:noWrap/>
          </w:tcPr>
          <w:p w:rsidR="003456EF" w:rsidRPr="00A97A0D" w:rsidRDefault="003456EF" w:rsidP="00A97A0D">
            <w:r w:rsidRPr="00A97A0D">
              <w:t>Target</w:t>
            </w:r>
          </w:p>
        </w:tc>
        <w:tc>
          <w:tcPr>
            <w:tcW w:w="6064" w:type="dxa"/>
            <w:gridSpan w:val="3"/>
            <w:noWrap/>
          </w:tcPr>
          <w:p w:rsidR="003456EF" w:rsidRPr="00A97A0D" w:rsidRDefault="003456EF" w:rsidP="00A97A0D">
            <w:pPr>
              <w:jc w:val="center"/>
              <w:cnfStyle w:val="100000000000" w:firstRow="1" w:lastRow="0" w:firstColumn="0" w:lastColumn="0" w:oddVBand="0" w:evenVBand="0" w:oddHBand="0" w:evenHBand="0" w:firstRowFirstColumn="0" w:firstRowLastColumn="0" w:lastRowFirstColumn="0" w:lastRowLastColumn="0"/>
            </w:pPr>
            <w:r w:rsidRPr="00A97A0D">
              <w:t>Age comparison</w:t>
            </w:r>
          </w:p>
        </w:tc>
      </w:tr>
      <w:tr w:rsidR="003456EF" w:rsidRPr="00A97A0D" w:rsidTr="00A97A0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19" w:type="dxa"/>
            <w:noWrap/>
            <w:hideMark/>
          </w:tcPr>
          <w:p w:rsidR="003456EF" w:rsidRPr="00A97A0D" w:rsidRDefault="003456EF" w:rsidP="00A97A0D"/>
        </w:tc>
        <w:tc>
          <w:tcPr>
            <w:tcW w:w="2496" w:type="dxa"/>
            <w:noWrap/>
            <w:hideMark/>
          </w:tcPr>
          <w:p w:rsidR="003456EF" w:rsidRPr="00A97A0D" w:rsidRDefault="003456EF" w:rsidP="00A97A0D">
            <w:pPr>
              <w:cnfStyle w:val="000000100000" w:firstRow="0" w:lastRow="0" w:firstColumn="0" w:lastColumn="0" w:oddVBand="0" w:evenVBand="0" w:oddHBand="1" w:evenHBand="0" w:firstRowFirstColumn="0" w:firstRowLastColumn="0" w:lastRowFirstColumn="0" w:lastRowLastColumn="0"/>
            </w:pPr>
            <w:r w:rsidRPr="00A97A0D">
              <w:t>6 months (18 replicates)</w:t>
            </w:r>
          </w:p>
        </w:tc>
        <w:tc>
          <w:tcPr>
            <w:tcW w:w="960" w:type="dxa"/>
            <w:noWrap/>
            <w:hideMark/>
          </w:tcPr>
          <w:p w:rsidR="003456EF" w:rsidRPr="00A97A0D" w:rsidRDefault="003456EF" w:rsidP="00A97A0D">
            <w:pPr>
              <w:cnfStyle w:val="000000100000" w:firstRow="0" w:lastRow="0" w:firstColumn="0" w:lastColumn="0" w:oddVBand="0" w:evenVBand="0" w:oddHBand="1" w:evenHBand="0" w:firstRowFirstColumn="0" w:firstRowLastColumn="0" w:lastRowFirstColumn="0" w:lastRowLastColumn="0"/>
            </w:pPr>
          </w:p>
        </w:tc>
        <w:tc>
          <w:tcPr>
            <w:tcW w:w="2608" w:type="dxa"/>
            <w:noWrap/>
            <w:hideMark/>
          </w:tcPr>
          <w:p w:rsidR="003456EF" w:rsidRPr="00A97A0D" w:rsidRDefault="003456EF" w:rsidP="00A97A0D">
            <w:pPr>
              <w:jc w:val="center"/>
              <w:cnfStyle w:val="000000100000" w:firstRow="0" w:lastRow="0" w:firstColumn="0" w:lastColumn="0" w:oddVBand="0" w:evenVBand="0" w:oddHBand="1" w:evenHBand="0" w:firstRowFirstColumn="0" w:firstRowLastColumn="0" w:lastRowFirstColumn="0" w:lastRowLastColumn="0"/>
            </w:pPr>
            <w:r w:rsidRPr="00A97A0D">
              <w:t>12 months (36 replicates)</w:t>
            </w:r>
          </w:p>
        </w:tc>
      </w:tr>
      <w:tr w:rsidR="003456EF" w:rsidRPr="00A97A0D" w:rsidTr="00A97A0D">
        <w:trPr>
          <w:trHeight w:val="300"/>
          <w:jc w:val="center"/>
        </w:trPr>
        <w:tc>
          <w:tcPr>
            <w:cnfStyle w:val="001000000000" w:firstRow="0" w:lastRow="0" w:firstColumn="1" w:lastColumn="0" w:oddVBand="0" w:evenVBand="0" w:oddHBand="0" w:evenHBand="0" w:firstRowFirstColumn="0" w:firstRowLastColumn="0" w:lastRowFirstColumn="0" w:lastRowLastColumn="0"/>
            <w:tcW w:w="1819" w:type="dxa"/>
            <w:noWrap/>
            <w:hideMark/>
          </w:tcPr>
          <w:p w:rsidR="003456EF" w:rsidRPr="00A97A0D" w:rsidRDefault="003456EF" w:rsidP="00A97A0D">
            <w:r w:rsidRPr="00A97A0D">
              <w:t>Standard</w:t>
            </w:r>
            <w:r w:rsidRPr="00A97A0D">
              <w:rPr>
                <w:vertAlign w:val="superscript"/>
              </w:rPr>
              <w:t>1.</w:t>
            </w:r>
          </w:p>
        </w:tc>
        <w:tc>
          <w:tcPr>
            <w:tcW w:w="2496" w:type="dxa"/>
            <w:noWrap/>
            <w:hideMark/>
          </w:tcPr>
          <w:p w:rsidR="003456EF" w:rsidRPr="00A97A0D" w:rsidRDefault="003456EF" w:rsidP="00A97A0D">
            <w:pPr>
              <w:jc w:val="center"/>
              <w:cnfStyle w:val="000000000000" w:firstRow="0" w:lastRow="0" w:firstColumn="0" w:lastColumn="0" w:oddVBand="0" w:evenVBand="0" w:oddHBand="0" w:evenHBand="0" w:firstRowFirstColumn="0" w:firstRowLastColumn="0" w:lastRowFirstColumn="0" w:lastRowLastColumn="0"/>
            </w:pPr>
            <w:r w:rsidRPr="00A97A0D">
              <w:t>26.6</w:t>
            </w:r>
          </w:p>
        </w:tc>
        <w:tc>
          <w:tcPr>
            <w:tcW w:w="960" w:type="dxa"/>
            <w:noWrap/>
            <w:hideMark/>
          </w:tcPr>
          <w:p w:rsidR="003456EF" w:rsidRPr="00A97A0D" w:rsidRDefault="003456EF" w:rsidP="00A97A0D">
            <w:pPr>
              <w:cnfStyle w:val="000000000000" w:firstRow="0" w:lastRow="0" w:firstColumn="0" w:lastColumn="0" w:oddVBand="0" w:evenVBand="0" w:oddHBand="0" w:evenHBand="0" w:firstRowFirstColumn="0" w:firstRowLastColumn="0" w:lastRowFirstColumn="0" w:lastRowLastColumn="0"/>
            </w:pPr>
          </w:p>
        </w:tc>
        <w:tc>
          <w:tcPr>
            <w:tcW w:w="2608" w:type="dxa"/>
            <w:noWrap/>
            <w:hideMark/>
          </w:tcPr>
          <w:p w:rsidR="003456EF" w:rsidRPr="00A97A0D" w:rsidRDefault="003456EF" w:rsidP="00A97A0D">
            <w:pPr>
              <w:jc w:val="center"/>
              <w:cnfStyle w:val="000000000000" w:firstRow="0" w:lastRow="0" w:firstColumn="0" w:lastColumn="0" w:oddVBand="0" w:evenVBand="0" w:oddHBand="0" w:evenHBand="0" w:firstRowFirstColumn="0" w:firstRowLastColumn="0" w:lastRowFirstColumn="0" w:lastRowLastColumn="0"/>
            </w:pPr>
            <w:r w:rsidRPr="00A97A0D">
              <w:t>13.4</w:t>
            </w:r>
          </w:p>
        </w:tc>
      </w:tr>
      <w:tr w:rsidR="003456EF" w:rsidRPr="00A97A0D" w:rsidTr="00A97A0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19" w:type="dxa"/>
            <w:noWrap/>
            <w:hideMark/>
          </w:tcPr>
          <w:p w:rsidR="003456EF" w:rsidRPr="00A97A0D" w:rsidRDefault="003456EF" w:rsidP="00A97A0D"/>
        </w:tc>
        <w:tc>
          <w:tcPr>
            <w:tcW w:w="2496" w:type="dxa"/>
            <w:noWrap/>
            <w:hideMark/>
          </w:tcPr>
          <w:p w:rsidR="003456EF" w:rsidRPr="00A97A0D" w:rsidRDefault="003456EF" w:rsidP="00A97A0D">
            <w:pPr>
              <w:jc w:val="center"/>
              <w:cnfStyle w:val="000000100000" w:firstRow="0" w:lastRow="0" w:firstColumn="0" w:lastColumn="0" w:oddVBand="0" w:evenVBand="0" w:oddHBand="1" w:evenHBand="0" w:firstRowFirstColumn="0" w:firstRowLastColumn="0" w:lastRowFirstColumn="0" w:lastRowLastColumn="0"/>
            </w:pPr>
            <w:r w:rsidRPr="00A97A0D">
              <w:t>(1.44±0.065)</w:t>
            </w:r>
          </w:p>
        </w:tc>
        <w:tc>
          <w:tcPr>
            <w:tcW w:w="960" w:type="dxa"/>
            <w:noWrap/>
            <w:hideMark/>
          </w:tcPr>
          <w:p w:rsidR="003456EF" w:rsidRPr="00A97A0D" w:rsidRDefault="003456EF" w:rsidP="00A97A0D">
            <w:pPr>
              <w:cnfStyle w:val="000000100000" w:firstRow="0" w:lastRow="0" w:firstColumn="0" w:lastColumn="0" w:oddVBand="0" w:evenVBand="0" w:oddHBand="1" w:evenHBand="0" w:firstRowFirstColumn="0" w:firstRowLastColumn="0" w:lastRowFirstColumn="0" w:lastRowLastColumn="0"/>
            </w:pPr>
          </w:p>
        </w:tc>
        <w:tc>
          <w:tcPr>
            <w:tcW w:w="2608" w:type="dxa"/>
            <w:noWrap/>
            <w:hideMark/>
          </w:tcPr>
          <w:p w:rsidR="003456EF" w:rsidRPr="00A97A0D" w:rsidRDefault="003456EF" w:rsidP="00A97A0D">
            <w:pPr>
              <w:jc w:val="center"/>
              <w:cnfStyle w:val="000000100000" w:firstRow="0" w:lastRow="0" w:firstColumn="0" w:lastColumn="0" w:oddVBand="0" w:evenVBand="0" w:oddHBand="1" w:evenHBand="0" w:firstRowFirstColumn="0" w:firstRowLastColumn="0" w:lastRowFirstColumn="0" w:lastRowLastColumn="0"/>
            </w:pPr>
            <w:r w:rsidRPr="00A97A0D">
              <w:t>(1.16±0.071)</w:t>
            </w:r>
          </w:p>
        </w:tc>
      </w:tr>
      <w:tr w:rsidR="003456EF" w:rsidRPr="00A97A0D" w:rsidTr="00A97A0D">
        <w:trPr>
          <w:trHeight w:val="300"/>
          <w:jc w:val="center"/>
        </w:trPr>
        <w:tc>
          <w:tcPr>
            <w:cnfStyle w:val="001000000000" w:firstRow="0" w:lastRow="0" w:firstColumn="1" w:lastColumn="0" w:oddVBand="0" w:evenVBand="0" w:oddHBand="0" w:evenHBand="0" w:firstRowFirstColumn="0" w:firstRowLastColumn="0" w:lastRowFirstColumn="0" w:lastRowLastColumn="0"/>
            <w:tcW w:w="1819" w:type="dxa"/>
            <w:noWrap/>
            <w:hideMark/>
          </w:tcPr>
          <w:p w:rsidR="003456EF" w:rsidRPr="00A97A0D" w:rsidRDefault="00A97A0D" w:rsidP="00A97A0D">
            <w:r w:rsidRPr="00A97A0D">
              <w:t>Not weathered</w:t>
            </w:r>
            <w:r w:rsidR="003456EF" w:rsidRPr="00A97A0D">
              <w:rPr>
                <w:vertAlign w:val="superscript"/>
              </w:rPr>
              <w:t>2.</w:t>
            </w:r>
          </w:p>
        </w:tc>
        <w:tc>
          <w:tcPr>
            <w:tcW w:w="2496" w:type="dxa"/>
            <w:noWrap/>
            <w:hideMark/>
          </w:tcPr>
          <w:p w:rsidR="003456EF" w:rsidRPr="00A97A0D" w:rsidRDefault="003456EF" w:rsidP="00A97A0D">
            <w:pPr>
              <w:jc w:val="center"/>
              <w:cnfStyle w:val="000000000000" w:firstRow="0" w:lastRow="0" w:firstColumn="0" w:lastColumn="0" w:oddVBand="0" w:evenVBand="0" w:oddHBand="0" w:evenHBand="0" w:firstRowFirstColumn="0" w:firstRowLastColumn="0" w:lastRowFirstColumn="0" w:lastRowLastColumn="0"/>
            </w:pPr>
            <w:r w:rsidRPr="00A97A0D">
              <w:t>22.5</w:t>
            </w:r>
          </w:p>
        </w:tc>
        <w:tc>
          <w:tcPr>
            <w:tcW w:w="960" w:type="dxa"/>
            <w:noWrap/>
            <w:hideMark/>
          </w:tcPr>
          <w:p w:rsidR="003456EF" w:rsidRPr="00A97A0D" w:rsidRDefault="003456EF" w:rsidP="00A97A0D">
            <w:pPr>
              <w:cnfStyle w:val="000000000000" w:firstRow="0" w:lastRow="0" w:firstColumn="0" w:lastColumn="0" w:oddVBand="0" w:evenVBand="0" w:oddHBand="0" w:evenHBand="0" w:firstRowFirstColumn="0" w:firstRowLastColumn="0" w:lastRowFirstColumn="0" w:lastRowLastColumn="0"/>
            </w:pPr>
          </w:p>
        </w:tc>
        <w:tc>
          <w:tcPr>
            <w:tcW w:w="2608" w:type="dxa"/>
            <w:noWrap/>
            <w:hideMark/>
          </w:tcPr>
          <w:p w:rsidR="003456EF" w:rsidRPr="00A97A0D" w:rsidRDefault="003456EF" w:rsidP="00A97A0D">
            <w:pPr>
              <w:jc w:val="center"/>
              <w:cnfStyle w:val="000000000000" w:firstRow="0" w:lastRow="0" w:firstColumn="0" w:lastColumn="0" w:oddVBand="0" w:evenVBand="0" w:oddHBand="0" w:evenHBand="0" w:firstRowFirstColumn="0" w:firstRowLastColumn="0" w:lastRowFirstColumn="0" w:lastRowLastColumn="0"/>
            </w:pPr>
            <w:r w:rsidRPr="00A97A0D">
              <w:t>10.6</w:t>
            </w:r>
          </w:p>
        </w:tc>
      </w:tr>
      <w:tr w:rsidR="003456EF" w:rsidRPr="00A97A0D" w:rsidTr="00A97A0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19" w:type="dxa"/>
            <w:noWrap/>
            <w:hideMark/>
          </w:tcPr>
          <w:p w:rsidR="003456EF" w:rsidRPr="00A97A0D" w:rsidRDefault="003456EF" w:rsidP="00A97A0D"/>
        </w:tc>
        <w:tc>
          <w:tcPr>
            <w:tcW w:w="2496" w:type="dxa"/>
            <w:noWrap/>
            <w:hideMark/>
          </w:tcPr>
          <w:p w:rsidR="003456EF" w:rsidRPr="00A97A0D" w:rsidRDefault="003456EF" w:rsidP="00A97A0D">
            <w:pPr>
              <w:jc w:val="center"/>
              <w:cnfStyle w:val="000000100000" w:firstRow="0" w:lastRow="0" w:firstColumn="0" w:lastColumn="0" w:oddVBand="0" w:evenVBand="0" w:oddHBand="1" w:evenHBand="0" w:firstRowFirstColumn="0" w:firstRowLastColumn="0" w:lastRowFirstColumn="0" w:lastRowLastColumn="0"/>
            </w:pPr>
            <w:r w:rsidRPr="00A97A0D">
              <w:t>(1.37±0.091)</w:t>
            </w:r>
          </w:p>
        </w:tc>
        <w:tc>
          <w:tcPr>
            <w:tcW w:w="960" w:type="dxa"/>
            <w:noWrap/>
            <w:hideMark/>
          </w:tcPr>
          <w:p w:rsidR="003456EF" w:rsidRPr="00A97A0D" w:rsidRDefault="003456EF" w:rsidP="00A97A0D">
            <w:pPr>
              <w:cnfStyle w:val="000000100000" w:firstRow="0" w:lastRow="0" w:firstColumn="0" w:lastColumn="0" w:oddVBand="0" w:evenVBand="0" w:oddHBand="1" w:evenHBand="0" w:firstRowFirstColumn="0" w:firstRowLastColumn="0" w:lastRowFirstColumn="0" w:lastRowLastColumn="0"/>
            </w:pPr>
          </w:p>
        </w:tc>
        <w:tc>
          <w:tcPr>
            <w:tcW w:w="2608" w:type="dxa"/>
            <w:noWrap/>
            <w:hideMark/>
          </w:tcPr>
          <w:p w:rsidR="003456EF" w:rsidRPr="00A97A0D" w:rsidRDefault="003456EF" w:rsidP="00A97A0D">
            <w:pPr>
              <w:jc w:val="center"/>
              <w:cnfStyle w:val="000000100000" w:firstRow="0" w:lastRow="0" w:firstColumn="0" w:lastColumn="0" w:oddVBand="0" w:evenVBand="0" w:oddHBand="1" w:evenHBand="0" w:firstRowFirstColumn="0" w:firstRowLastColumn="0" w:lastRowFirstColumn="0" w:lastRowLastColumn="0"/>
            </w:pPr>
            <w:r w:rsidRPr="00A97A0D">
              <w:t>(1.06±0.062)</w:t>
            </w:r>
          </w:p>
        </w:tc>
      </w:tr>
      <w:tr w:rsidR="003456EF" w:rsidRPr="00A97A0D" w:rsidTr="00A97A0D">
        <w:trPr>
          <w:trHeight w:val="300"/>
          <w:jc w:val="center"/>
        </w:trPr>
        <w:tc>
          <w:tcPr>
            <w:cnfStyle w:val="001000000000" w:firstRow="0" w:lastRow="0" w:firstColumn="1" w:lastColumn="0" w:oddVBand="0" w:evenVBand="0" w:oddHBand="0" w:evenHBand="0" w:firstRowFirstColumn="0" w:firstRowLastColumn="0" w:lastRowFirstColumn="0" w:lastRowLastColumn="0"/>
            <w:tcW w:w="1819" w:type="dxa"/>
            <w:noWrap/>
            <w:hideMark/>
          </w:tcPr>
          <w:p w:rsidR="003456EF" w:rsidRPr="00A97A0D" w:rsidRDefault="00A97A0D" w:rsidP="00A97A0D">
            <w:r w:rsidRPr="00A97A0D">
              <w:t>Weathered</w:t>
            </w:r>
            <w:r w:rsidR="003456EF" w:rsidRPr="00A97A0D">
              <w:rPr>
                <w:vertAlign w:val="superscript"/>
              </w:rPr>
              <w:t>3.</w:t>
            </w:r>
          </w:p>
        </w:tc>
        <w:tc>
          <w:tcPr>
            <w:tcW w:w="2496" w:type="dxa"/>
            <w:noWrap/>
            <w:hideMark/>
          </w:tcPr>
          <w:p w:rsidR="003456EF" w:rsidRPr="00A97A0D" w:rsidRDefault="003456EF" w:rsidP="00A97A0D">
            <w:pPr>
              <w:jc w:val="center"/>
              <w:cnfStyle w:val="000000000000" w:firstRow="0" w:lastRow="0" w:firstColumn="0" w:lastColumn="0" w:oddVBand="0" w:evenVBand="0" w:oddHBand="0" w:evenHBand="0" w:firstRowFirstColumn="0" w:firstRowLastColumn="0" w:lastRowFirstColumn="0" w:lastRowLastColumn="0"/>
            </w:pPr>
            <w:r w:rsidRPr="00A97A0D">
              <w:t>23.4</w:t>
            </w:r>
          </w:p>
        </w:tc>
        <w:tc>
          <w:tcPr>
            <w:tcW w:w="960" w:type="dxa"/>
            <w:noWrap/>
            <w:hideMark/>
          </w:tcPr>
          <w:p w:rsidR="003456EF" w:rsidRPr="00A97A0D" w:rsidRDefault="003456EF" w:rsidP="00A97A0D">
            <w:pPr>
              <w:cnfStyle w:val="000000000000" w:firstRow="0" w:lastRow="0" w:firstColumn="0" w:lastColumn="0" w:oddVBand="0" w:evenVBand="0" w:oddHBand="0" w:evenHBand="0" w:firstRowFirstColumn="0" w:firstRowLastColumn="0" w:lastRowFirstColumn="0" w:lastRowLastColumn="0"/>
            </w:pPr>
          </w:p>
        </w:tc>
        <w:tc>
          <w:tcPr>
            <w:tcW w:w="2608" w:type="dxa"/>
            <w:noWrap/>
            <w:hideMark/>
          </w:tcPr>
          <w:p w:rsidR="003456EF" w:rsidRPr="00A97A0D" w:rsidRDefault="003456EF" w:rsidP="00A97A0D">
            <w:pPr>
              <w:jc w:val="center"/>
              <w:cnfStyle w:val="000000000000" w:firstRow="0" w:lastRow="0" w:firstColumn="0" w:lastColumn="0" w:oddVBand="0" w:evenVBand="0" w:oddHBand="0" w:evenHBand="0" w:firstRowFirstColumn="0" w:firstRowLastColumn="0" w:lastRowFirstColumn="0" w:lastRowLastColumn="0"/>
            </w:pPr>
            <w:r w:rsidRPr="00A97A0D">
              <w:t>11.8</w:t>
            </w:r>
          </w:p>
        </w:tc>
      </w:tr>
      <w:tr w:rsidR="003456EF" w:rsidRPr="00A97A0D" w:rsidTr="00A97A0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19" w:type="dxa"/>
            <w:noWrap/>
            <w:hideMark/>
          </w:tcPr>
          <w:p w:rsidR="003456EF" w:rsidRPr="00A97A0D" w:rsidRDefault="003456EF" w:rsidP="00A97A0D"/>
        </w:tc>
        <w:tc>
          <w:tcPr>
            <w:tcW w:w="2496" w:type="dxa"/>
            <w:noWrap/>
            <w:hideMark/>
          </w:tcPr>
          <w:p w:rsidR="003456EF" w:rsidRPr="00A97A0D" w:rsidRDefault="003456EF" w:rsidP="00A97A0D">
            <w:pPr>
              <w:jc w:val="center"/>
              <w:cnfStyle w:val="000000100000" w:firstRow="0" w:lastRow="0" w:firstColumn="0" w:lastColumn="0" w:oddVBand="0" w:evenVBand="0" w:oddHBand="1" w:evenHBand="0" w:firstRowFirstColumn="0" w:firstRowLastColumn="0" w:lastRowFirstColumn="0" w:lastRowLastColumn="0"/>
            </w:pPr>
            <w:r w:rsidRPr="00A97A0D">
              <w:t>(1.39±0.087)</w:t>
            </w:r>
          </w:p>
        </w:tc>
        <w:tc>
          <w:tcPr>
            <w:tcW w:w="960" w:type="dxa"/>
            <w:noWrap/>
            <w:hideMark/>
          </w:tcPr>
          <w:p w:rsidR="003456EF" w:rsidRPr="00A97A0D" w:rsidRDefault="003456EF" w:rsidP="00A97A0D">
            <w:pPr>
              <w:cnfStyle w:val="000000100000" w:firstRow="0" w:lastRow="0" w:firstColumn="0" w:lastColumn="0" w:oddVBand="0" w:evenVBand="0" w:oddHBand="1" w:evenHBand="0" w:firstRowFirstColumn="0" w:firstRowLastColumn="0" w:lastRowFirstColumn="0" w:lastRowLastColumn="0"/>
            </w:pPr>
          </w:p>
        </w:tc>
        <w:tc>
          <w:tcPr>
            <w:tcW w:w="2608" w:type="dxa"/>
            <w:noWrap/>
            <w:hideMark/>
          </w:tcPr>
          <w:p w:rsidR="003456EF" w:rsidRPr="00A97A0D" w:rsidRDefault="003456EF" w:rsidP="00A97A0D">
            <w:pPr>
              <w:jc w:val="center"/>
              <w:cnfStyle w:val="000000100000" w:firstRow="0" w:lastRow="0" w:firstColumn="0" w:lastColumn="0" w:oddVBand="0" w:evenVBand="0" w:oddHBand="1" w:evenHBand="0" w:firstRowFirstColumn="0" w:firstRowLastColumn="0" w:lastRowFirstColumn="0" w:lastRowLastColumn="0"/>
            </w:pPr>
            <w:r w:rsidRPr="00A97A0D">
              <w:t>(1.11±0.068)</w:t>
            </w:r>
          </w:p>
        </w:tc>
      </w:tr>
      <w:tr w:rsidR="003456EF" w:rsidRPr="00A97A0D" w:rsidTr="00A97A0D">
        <w:trPr>
          <w:trHeight w:val="300"/>
          <w:jc w:val="center"/>
        </w:trPr>
        <w:tc>
          <w:tcPr>
            <w:cnfStyle w:val="001000000000" w:firstRow="0" w:lastRow="0" w:firstColumn="1" w:lastColumn="0" w:oddVBand="0" w:evenVBand="0" w:oddHBand="0" w:evenHBand="0" w:firstRowFirstColumn="0" w:firstRowLastColumn="0" w:lastRowFirstColumn="0" w:lastRowLastColumn="0"/>
            <w:tcW w:w="1819" w:type="dxa"/>
            <w:noWrap/>
            <w:hideMark/>
          </w:tcPr>
          <w:p w:rsidR="003456EF" w:rsidRPr="00A97A0D" w:rsidRDefault="003456EF" w:rsidP="00A97A0D">
            <w:pPr>
              <w:rPr>
                <w:i/>
              </w:rPr>
            </w:pPr>
            <w:r w:rsidRPr="00A97A0D">
              <w:rPr>
                <w:i/>
              </w:rPr>
              <w:t>P</w:t>
            </w:r>
          </w:p>
        </w:tc>
        <w:tc>
          <w:tcPr>
            <w:tcW w:w="2496" w:type="dxa"/>
            <w:noWrap/>
            <w:hideMark/>
          </w:tcPr>
          <w:p w:rsidR="003456EF" w:rsidRPr="00A97A0D" w:rsidRDefault="003456EF" w:rsidP="00A97A0D">
            <w:pPr>
              <w:jc w:val="center"/>
              <w:cnfStyle w:val="000000000000" w:firstRow="0" w:lastRow="0" w:firstColumn="0" w:lastColumn="0" w:oddVBand="0" w:evenVBand="0" w:oddHBand="0" w:evenHBand="0" w:firstRowFirstColumn="0" w:firstRowLastColumn="0" w:lastRowFirstColumn="0" w:lastRowLastColumn="0"/>
              <w:rPr>
                <w:i/>
              </w:rPr>
            </w:pPr>
            <w:proofErr w:type="spellStart"/>
            <w:r w:rsidRPr="00A97A0D">
              <w:rPr>
                <w:i/>
              </w:rPr>
              <w:t>n.s</w:t>
            </w:r>
            <w:proofErr w:type="spellEnd"/>
            <w:r w:rsidRPr="00A97A0D">
              <w:rPr>
                <w:i/>
              </w:rPr>
              <w:t>.</w:t>
            </w:r>
          </w:p>
        </w:tc>
        <w:tc>
          <w:tcPr>
            <w:tcW w:w="960" w:type="dxa"/>
            <w:noWrap/>
            <w:hideMark/>
          </w:tcPr>
          <w:p w:rsidR="003456EF" w:rsidRPr="00A97A0D" w:rsidRDefault="003456EF" w:rsidP="00A97A0D">
            <w:pPr>
              <w:cnfStyle w:val="000000000000" w:firstRow="0" w:lastRow="0" w:firstColumn="0" w:lastColumn="0" w:oddVBand="0" w:evenVBand="0" w:oddHBand="0" w:evenHBand="0" w:firstRowFirstColumn="0" w:firstRowLastColumn="0" w:lastRowFirstColumn="0" w:lastRowLastColumn="0"/>
            </w:pPr>
          </w:p>
        </w:tc>
        <w:tc>
          <w:tcPr>
            <w:tcW w:w="2608" w:type="dxa"/>
            <w:noWrap/>
            <w:hideMark/>
          </w:tcPr>
          <w:p w:rsidR="003456EF" w:rsidRPr="00A97A0D" w:rsidRDefault="003456EF" w:rsidP="00A97A0D">
            <w:pPr>
              <w:jc w:val="center"/>
              <w:cnfStyle w:val="000000000000" w:firstRow="0" w:lastRow="0" w:firstColumn="0" w:lastColumn="0" w:oddVBand="0" w:evenVBand="0" w:oddHBand="0" w:evenHBand="0" w:firstRowFirstColumn="0" w:firstRowLastColumn="0" w:lastRowFirstColumn="0" w:lastRowLastColumn="0"/>
              <w:rPr>
                <w:i/>
              </w:rPr>
            </w:pPr>
            <w:proofErr w:type="spellStart"/>
            <w:r w:rsidRPr="00A97A0D">
              <w:rPr>
                <w:i/>
              </w:rPr>
              <w:t>n.s</w:t>
            </w:r>
            <w:proofErr w:type="spellEnd"/>
            <w:r w:rsidRPr="00A97A0D">
              <w:rPr>
                <w:i/>
              </w:rPr>
              <w:t>.</w:t>
            </w:r>
          </w:p>
        </w:tc>
      </w:tr>
    </w:tbl>
    <w:p w:rsidR="003456EF" w:rsidRPr="00A97A0D" w:rsidRDefault="003456EF" w:rsidP="00A97A0D">
      <w:pPr>
        <w:spacing w:after="0"/>
      </w:pPr>
    </w:p>
    <w:p w:rsidR="003456EF" w:rsidRPr="00A97A0D" w:rsidRDefault="003456EF" w:rsidP="00A97A0D">
      <w:pPr>
        <w:spacing w:after="0"/>
      </w:pPr>
      <w:r w:rsidRPr="00A97A0D">
        <w:t xml:space="preserve">1. Standard target: </w:t>
      </w:r>
      <w:proofErr w:type="spellStart"/>
      <w:r w:rsidRPr="00A97A0D">
        <w:t>pthalogen</w:t>
      </w:r>
      <w:proofErr w:type="spellEnd"/>
      <w:r w:rsidRPr="00A97A0D">
        <w:t xml:space="preserve"> blue cotton and polyester netting</w:t>
      </w:r>
      <w:r w:rsidR="00A97A0D" w:rsidRPr="00A97A0D">
        <w:t>, not weathered</w:t>
      </w:r>
      <w:r w:rsidRPr="00A97A0D">
        <w:t xml:space="preserve">. </w:t>
      </w:r>
    </w:p>
    <w:p w:rsidR="003456EF" w:rsidRPr="00A97A0D" w:rsidRDefault="003456EF" w:rsidP="00A97A0D">
      <w:pPr>
        <w:spacing w:after="0"/>
      </w:pPr>
      <w:r w:rsidRPr="00A97A0D">
        <w:t xml:space="preserve">2. </w:t>
      </w:r>
      <w:r w:rsidR="00A97A0D" w:rsidRPr="00A97A0D">
        <w:t xml:space="preserve">Not </w:t>
      </w:r>
      <w:proofErr w:type="spellStart"/>
      <w:r w:rsidR="00A97A0D" w:rsidRPr="00A97A0D">
        <w:t>weathereed</w:t>
      </w:r>
      <w:proofErr w:type="spellEnd"/>
      <w:r w:rsidRPr="00A97A0D">
        <w:t xml:space="preserve"> target: blue polyester and black polyethylene netting, not weathered. </w:t>
      </w:r>
    </w:p>
    <w:p w:rsidR="0003110A" w:rsidRPr="00A97A0D" w:rsidRDefault="003456EF" w:rsidP="00A97A0D">
      <w:r w:rsidRPr="00A97A0D">
        <w:t xml:space="preserve">3. </w:t>
      </w:r>
      <w:r w:rsidR="00A97A0D" w:rsidRPr="00A97A0D">
        <w:t>Weathered</w:t>
      </w:r>
      <w:r w:rsidRPr="00A97A0D">
        <w:t xml:space="preserve"> target: blue polyester and black polyethylene netting, weathered for 6-12 months.</w:t>
      </w:r>
    </w:p>
    <w:p w:rsidR="003456EF" w:rsidRPr="00A97A0D" w:rsidRDefault="003456EF" w:rsidP="00A97A0D">
      <w:pPr>
        <w:rPr>
          <w:b/>
        </w:rPr>
      </w:pPr>
      <w:r w:rsidRPr="00A97A0D">
        <w:rPr>
          <w:b/>
        </w:rPr>
        <w:t>Reference</w:t>
      </w:r>
    </w:p>
    <w:p w:rsidR="003456EF" w:rsidRPr="00A97A0D" w:rsidRDefault="003456EF" w:rsidP="00A97A0D">
      <w:r w:rsidRPr="00A97A0D">
        <w:t xml:space="preserve">Lindh JM, </w:t>
      </w:r>
      <w:proofErr w:type="spellStart"/>
      <w:r w:rsidRPr="00A97A0D">
        <w:t>Goswami</w:t>
      </w:r>
      <w:proofErr w:type="spellEnd"/>
      <w:r w:rsidRPr="00A97A0D">
        <w:t xml:space="preserve"> P, Blackburn RS, Arnold SEJ, Vale GA, et al. (2012) Optimizing the Colour and Fabric of Targets for the Control of the Tsetse Fly Glossina </w:t>
      </w:r>
      <w:proofErr w:type="spellStart"/>
      <w:r w:rsidRPr="00A97A0D">
        <w:t>fuscipes</w:t>
      </w:r>
      <w:proofErr w:type="spellEnd"/>
      <w:r w:rsidRPr="00A97A0D">
        <w:t xml:space="preserve"> </w:t>
      </w:r>
      <w:proofErr w:type="spellStart"/>
      <w:r w:rsidRPr="00A97A0D">
        <w:t>fuscipes</w:t>
      </w:r>
      <w:proofErr w:type="spellEnd"/>
      <w:r w:rsidRPr="00A97A0D">
        <w:t xml:space="preserve">. </w:t>
      </w:r>
      <w:proofErr w:type="spellStart"/>
      <w:r w:rsidRPr="00A97A0D">
        <w:t>Plos</w:t>
      </w:r>
      <w:proofErr w:type="spellEnd"/>
      <w:r w:rsidRPr="00A97A0D">
        <w:t xml:space="preserve"> Neglected Tropical Diseases 6.</w:t>
      </w:r>
      <w:r w:rsidRPr="00A97A0D">
        <w:br w:type="page"/>
      </w:r>
    </w:p>
    <w:p w:rsidR="003456EF" w:rsidRPr="00A97A0D" w:rsidRDefault="005B12FA" w:rsidP="00A97A0D">
      <w:pPr>
        <w:jc w:val="center"/>
        <w:rPr>
          <w:b/>
        </w:rPr>
      </w:pPr>
      <w:r w:rsidRPr="00A97A0D">
        <w:rPr>
          <w:b/>
        </w:rPr>
        <w:lastRenderedPageBreak/>
        <w:t xml:space="preserve">S3: </w:t>
      </w:r>
      <w:r w:rsidR="003456EF" w:rsidRPr="00A97A0D">
        <w:rPr>
          <w:b/>
        </w:rPr>
        <w:t>Effective life of tiny targets: effects of weathering on insecticide performance</w:t>
      </w:r>
    </w:p>
    <w:p w:rsidR="003456EF" w:rsidRPr="00A97A0D" w:rsidRDefault="003456EF" w:rsidP="00A97A0D">
      <w:r w:rsidRPr="00A97A0D">
        <w:t xml:space="preserve">Cloth and netting from tiny targets was </w:t>
      </w:r>
      <w:proofErr w:type="spellStart"/>
      <w:r w:rsidRPr="00A97A0D">
        <w:t>bioassayed</w:t>
      </w:r>
      <w:proofErr w:type="spellEnd"/>
      <w:r w:rsidRPr="00A97A0D">
        <w:t xml:space="preserve"> by exposing</w:t>
      </w:r>
      <w:r w:rsidR="002E4BC5" w:rsidRPr="00A97A0D">
        <w:t xml:space="preserve"> wild caught</w:t>
      </w:r>
      <w:r w:rsidRPr="00A97A0D">
        <w:t xml:space="preserve"> </w:t>
      </w:r>
      <w:r w:rsidR="002E4BC5" w:rsidRPr="00A97A0D">
        <w:t>(</w:t>
      </w:r>
      <w:proofErr w:type="spellStart"/>
      <w:r w:rsidR="002E4BC5" w:rsidRPr="00A97A0D">
        <w:t>i</w:t>
      </w:r>
      <w:proofErr w:type="spellEnd"/>
      <w:r w:rsidR="002E4BC5" w:rsidRPr="00A97A0D">
        <w:t xml:space="preserve">) </w:t>
      </w:r>
      <w:r w:rsidRPr="00A97A0D">
        <w:t xml:space="preserve">female </w:t>
      </w:r>
      <w:r w:rsidRPr="00A97A0D">
        <w:rPr>
          <w:i/>
        </w:rPr>
        <w:t xml:space="preserve">G. </w:t>
      </w:r>
      <w:proofErr w:type="spellStart"/>
      <w:r w:rsidRPr="00A97A0D">
        <w:rPr>
          <w:i/>
        </w:rPr>
        <w:t>pallidipes</w:t>
      </w:r>
      <w:proofErr w:type="spellEnd"/>
      <w:r w:rsidRPr="00A97A0D">
        <w:t xml:space="preserve"> from Zimbabwe </w:t>
      </w:r>
      <w:r w:rsidR="002E4BC5" w:rsidRPr="00A97A0D">
        <w:t xml:space="preserve">or (ii) </w:t>
      </w:r>
      <w:r w:rsidR="002E4BC5" w:rsidRPr="00A97A0D">
        <w:rPr>
          <w:i/>
        </w:rPr>
        <w:t xml:space="preserve">G. f. </w:t>
      </w:r>
      <w:proofErr w:type="spellStart"/>
      <w:r w:rsidR="002E4BC5" w:rsidRPr="00A97A0D">
        <w:rPr>
          <w:i/>
        </w:rPr>
        <w:t>fuscipes</w:t>
      </w:r>
      <w:proofErr w:type="spellEnd"/>
      <w:r w:rsidR="002E4BC5" w:rsidRPr="00A97A0D">
        <w:t xml:space="preserve"> from </w:t>
      </w:r>
      <w:proofErr w:type="spellStart"/>
      <w:r w:rsidR="002E4BC5" w:rsidRPr="00A97A0D">
        <w:t>Mbita</w:t>
      </w:r>
      <w:proofErr w:type="spellEnd"/>
      <w:r w:rsidR="002E4BC5" w:rsidRPr="00A97A0D">
        <w:t xml:space="preserve"> </w:t>
      </w:r>
      <w:r w:rsidRPr="00A97A0D">
        <w:t xml:space="preserve">to netting and cloth from tiny targets weathered for 0-8 months.  </w:t>
      </w:r>
      <w:r w:rsidR="002E4BC5" w:rsidRPr="00A97A0D">
        <w:t xml:space="preserve">Bioassays were carried out at, respectively,  </w:t>
      </w:r>
      <w:proofErr w:type="spellStart"/>
      <w:r w:rsidR="002E4BC5" w:rsidRPr="00A97A0D">
        <w:t>Rekomitjie</w:t>
      </w:r>
      <w:proofErr w:type="spellEnd"/>
      <w:r w:rsidR="002E4BC5" w:rsidRPr="00A97A0D">
        <w:t xml:space="preserve"> Research Station in Zimbabwe or ICIPE’s Thomas </w:t>
      </w:r>
      <w:proofErr w:type="spellStart"/>
      <w:r w:rsidR="002E4BC5" w:rsidRPr="00A97A0D">
        <w:t>Odhiambo</w:t>
      </w:r>
      <w:proofErr w:type="spellEnd"/>
      <w:r w:rsidR="002E4BC5" w:rsidRPr="00A97A0D">
        <w:t xml:space="preserve"> Campus at </w:t>
      </w:r>
      <w:proofErr w:type="spellStart"/>
      <w:r w:rsidR="002E4BC5" w:rsidRPr="00A97A0D">
        <w:t>Mbita</w:t>
      </w:r>
      <w:proofErr w:type="spellEnd"/>
      <w:r w:rsidR="002E4BC5" w:rsidRPr="00A97A0D">
        <w:t xml:space="preserve">, Kenya.  </w:t>
      </w:r>
      <w:r w:rsidRPr="00A97A0D">
        <w:t xml:space="preserve">See Torr (1985) for further details of methods. </w:t>
      </w:r>
    </w:p>
    <w:p w:rsidR="006A62C1" w:rsidRPr="00A97A0D" w:rsidRDefault="006A62C1" w:rsidP="00A97A0D">
      <w:r w:rsidRPr="00A97A0D">
        <w:t xml:space="preserve">Knockdown of tsetse exposed to untreated netting or cloth was &lt;4% for all assays.  </w:t>
      </w:r>
      <w:r w:rsidR="003456EF" w:rsidRPr="00A97A0D">
        <w:t>The results for netting</w:t>
      </w:r>
      <w:r w:rsidR="00DA484C" w:rsidRPr="00A97A0D">
        <w:t xml:space="preserve"> </w:t>
      </w:r>
      <w:r w:rsidRPr="00A97A0D">
        <w:t>show (Fig.</w:t>
      </w:r>
      <w:r w:rsidR="002E4A77">
        <w:t xml:space="preserve"> </w:t>
      </w:r>
      <w:r w:rsidR="00D74629" w:rsidRPr="00A97A0D">
        <w:t>A</w:t>
      </w:r>
      <w:r w:rsidRPr="00A97A0D">
        <w:t xml:space="preserve">) that exposing tsetse to </w:t>
      </w:r>
      <w:r w:rsidR="00DA484C" w:rsidRPr="00A97A0D">
        <w:t>new (&lt;1 month exposure</w:t>
      </w:r>
      <w:r w:rsidRPr="00A97A0D">
        <w:t>) produced a 100</w:t>
      </w:r>
      <w:proofErr w:type="gramStart"/>
      <w:r w:rsidRPr="00A97A0D">
        <w:t xml:space="preserve">% </w:t>
      </w:r>
      <w:r w:rsidR="00DA484C" w:rsidRPr="00A97A0D">
        <w:t xml:space="preserve"> knock</w:t>
      </w:r>
      <w:proofErr w:type="gramEnd"/>
      <w:r w:rsidRPr="00A97A0D">
        <w:t xml:space="preserve"> down. T</w:t>
      </w:r>
      <w:r w:rsidR="00DA484C" w:rsidRPr="00A97A0D">
        <w:t>he</w:t>
      </w:r>
      <w:r w:rsidRPr="00A97A0D">
        <w:t>reafter the</w:t>
      </w:r>
      <w:r w:rsidR="00DA484C" w:rsidRPr="00A97A0D">
        <w:t xml:space="preserve"> knockdown </w:t>
      </w:r>
      <w:r w:rsidRPr="00A97A0D">
        <w:t xml:space="preserve">was variable </w:t>
      </w:r>
      <w:r w:rsidR="00232BD9" w:rsidRPr="00A97A0D">
        <w:t>and declined to</w:t>
      </w:r>
      <w:r w:rsidR="00DA484C" w:rsidRPr="00A97A0D">
        <w:t xml:space="preserve"> </w:t>
      </w:r>
      <w:r w:rsidR="003456EF" w:rsidRPr="00A97A0D">
        <w:t xml:space="preserve"> &lt;50% after </w:t>
      </w:r>
      <w:r w:rsidRPr="00A97A0D">
        <w:t xml:space="preserve">six </w:t>
      </w:r>
      <w:r w:rsidR="003456EF" w:rsidRPr="00A97A0D">
        <w:t>months</w:t>
      </w:r>
      <w:r w:rsidRPr="00A97A0D">
        <w:t xml:space="preserve">. For tsetse exposed to cloth, knockdown exceeded 75% </w:t>
      </w:r>
      <w:r w:rsidR="00232BD9" w:rsidRPr="00A97A0D">
        <w:t xml:space="preserve">consistently </w:t>
      </w:r>
      <w:r w:rsidRPr="00A97A0D">
        <w:t>for eight months when testing ceased (</w:t>
      </w:r>
      <w:r w:rsidR="002E4A77">
        <w:t>Fig. A</w:t>
      </w:r>
      <w:r w:rsidRPr="00A97A0D">
        <w:t xml:space="preserve">).  </w:t>
      </w:r>
    </w:p>
    <w:p w:rsidR="003456EF" w:rsidRPr="00A97A0D" w:rsidRDefault="003456EF" w:rsidP="00A97A0D"/>
    <w:p w:rsidR="003456EF" w:rsidRPr="00A97A0D" w:rsidRDefault="00232BD9" w:rsidP="00A97A0D">
      <w:pPr>
        <w:jc w:val="center"/>
        <w:rPr>
          <w:b/>
        </w:rPr>
      </w:pPr>
      <w:r w:rsidRPr="00A97A0D">
        <w:rPr>
          <w:noProof/>
          <w:lang w:eastAsia="en-GB"/>
        </w:rPr>
        <w:drawing>
          <wp:inline distT="0" distB="0" distL="0" distR="0" wp14:anchorId="6D94137D" wp14:editId="64BC97F9">
            <wp:extent cx="5348177" cy="2457519"/>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48701" cy="2457760"/>
                    </a:xfrm>
                    <a:prstGeom prst="rect">
                      <a:avLst/>
                    </a:prstGeom>
                    <a:noFill/>
                    <a:ln>
                      <a:noFill/>
                    </a:ln>
                  </pic:spPr>
                </pic:pic>
              </a:graphicData>
            </a:graphic>
          </wp:inline>
        </w:drawing>
      </w:r>
    </w:p>
    <w:p w:rsidR="003456EF" w:rsidRPr="00A97A0D" w:rsidRDefault="002E4A77" w:rsidP="00A97A0D">
      <w:r>
        <w:t xml:space="preserve">Fig. </w:t>
      </w:r>
      <w:proofErr w:type="gramStart"/>
      <w:r>
        <w:t>A</w:t>
      </w:r>
      <w:r w:rsidR="003456EF" w:rsidRPr="00A97A0D">
        <w:t xml:space="preserve">  Percentage</w:t>
      </w:r>
      <w:proofErr w:type="gramEnd"/>
      <w:r w:rsidR="003456EF" w:rsidRPr="00A97A0D">
        <w:t xml:space="preserve"> knockdown of tsetse 2 h after expos</w:t>
      </w:r>
      <w:r w:rsidR="00232BD9" w:rsidRPr="00A97A0D">
        <w:t>ure</w:t>
      </w:r>
      <w:r w:rsidR="003456EF" w:rsidRPr="00A97A0D">
        <w:t xml:space="preserve"> to netting </w:t>
      </w:r>
      <w:r w:rsidR="00BE70B1">
        <w:t xml:space="preserve">(A) </w:t>
      </w:r>
      <w:r w:rsidR="003456EF" w:rsidRPr="00A97A0D">
        <w:t>or cloth</w:t>
      </w:r>
      <w:r w:rsidR="00BE70B1">
        <w:t xml:space="preserve"> (B)</w:t>
      </w:r>
      <w:r w:rsidR="003456EF" w:rsidRPr="00A97A0D">
        <w:t xml:space="preserve"> from tiny targets.</w:t>
      </w:r>
    </w:p>
    <w:p w:rsidR="002E4BC5" w:rsidRPr="00A97A0D" w:rsidRDefault="003456EF" w:rsidP="00A97A0D">
      <w:r w:rsidRPr="00A97A0D">
        <w:t xml:space="preserve">Each dot represents the percentage knockdown from a bioassay of a single sample using </w:t>
      </w:r>
      <w:r w:rsidR="00DA484C" w:rsidRPr="00A97A0D">
        <w:t>~30 tsetse (</w:t>
      </w:r>
      <w:r w:rsidR="00232BD9" w:rsidRPr="00A97A0D">
        <w:t xml:space="preserve">median=30, </w:t>
      </w:r>
      <w:r w:rsidR="00DA484C" w:rsidRPr="00A97A0D">
        <w:t>range 19-34)</w:t>
      </w:r>
      <w:r w:rsidRPr="00A97A0D">
        <w:t xml:space="preserve">.  Bars indicate mean percent knockdown from all assays conducted for each month. Where several samples produced the same knockdown then only one dot is visible, but the total number of </w:t>
      </w:r>
      <w:r w:rsidR="00232BD9" w:rsidRPr="00A97A0D">
        <w:t>samples tested</w:t>
      </w:r>
      <w:r w:rsidRPr="00A97A0D">
        <w:t xml:space="preserve"> is shown in text within each bar.  </w:t>
      </w:r>
    </w:p>
    <w:p w:rsidR="002E4BC5" w:rsidRPr="00A97A0D" w:rsidRDefault="002E4BC5" w:rsidP="00A97A0D"/>
    <w:p w:rsidR="003456EF" w:rsidRPr="00A97A0D" w:rsidRDefault="003456EF" w:rsidP="00A97A0D">
      <w:pPr>
        <w:rPr>
          <w:b/>
        </w:rPr>
      </w:pPr>
      <w:r w:rsidRPr="00A97A0D">
        <w:rPr>
          <w:b/>
        </w:rPr>
        <w:t>Reference</w:t>
      </w:r>
    </w:p>
    <w:p w:rsidR="003456EF" w:rsidRPr="00A97A0D" w:rsidRDefault="003456EF" w:rsidP="00A97A0D">
      <w:pPr>
        <w:rPr>
          <w:b/>
        </w:rPr>
      </w:pPr>
      <w:r w:rsidRPr="00A97A0D">
        <w:t xml:space="preserve">Torr SJ (1985) The susceptibility of </w:t>
      </w:r>
      <w:r w:rsidRPr="003533EC">
        <w:rPr>
          <w:i/>
        </w:rPr>
        <w:t xml:space="preserve">Glossina </w:t>
      </w:r>
      <w:proofErr w:type="spellStart"/>
      <w:r w:rsidRPr="003533EC">
        <w:rPr>
          <w:i/>
        </w:rPr>
        <w:t>pallidipes</w:t>
      </w:r>
      <w:proofErr w:type="spellEnd"/>
      <w:r w:rsidRPr="00A97A0D">
        <w:t xml:space="preserve"> Austen (</w:t>
      </w:r>
      <w:proofErr w:type="spellStart"/>
      <w:r w:rsidRPr="00A97A0D">
        <w:t>Diptera</w:t>
      </w:r>
      <w:proofErr w:type="spellEnd"/>
      <w:r w:rsidRPr="00A97A0D">
        <w:t xml:space="preserve">: </w:t>
      </w:r>
      <w:proofErr w:type="spellStart"/>
      <w:r w:rsidRPr="00A97A0D">
        <w:t>Glossinidiae</w:t>
      </w:r>
      <w:proofErr w:type="spellEnd"/>
      <w:r w:rsidRPr="00A97A0D">
        <w:t>) to insecticide deposits on targets. Bulletin of Entomological Research 75: 451-458.</w:t>
      </w:r>
      <w:r w:rsidRPr="00A97A0D">
        <w:fldChar w:fldCharType="begin"/>
      </w:r>
      <w:r w:rsidRPr="00A97A0D">
        <w:instrText xml:space="preserve"> ADDIN EN.REFLIST </w:instrText>
      </w:r>
      <w:r w:rsidRPr="00A97A0D">
        <w:fldChar w:fldCharType="end"/>
      </w:r>
    </w:p>
    <w:p w:rsidR="003456EF" w:rsidRPr="00A97A0D" w:rsidRDefault="003456EF" w:rsidP="00A97A0D">
      <w:pPr>
        <w:ind w:left="720" w:hanging="720"/>
        <w:rPr>
          <w:rFonts w:ascii="Arial" w:hAnsi="Arial" w:cs="Arial"/>
          <w:noProof/>
          <w:szCs w:val="20"/>
        </w:rPr>
      </w:pPr>
    </w:p>
    <w:p w:rsidR="00B43D15" w:rsidRPr="00A97A0D" w:rsidRDefault="00D970B2" w:rsidP="00A97A0D">
      <w:pPr>
        <w:jc w:val="center"/>
        <w:rPr>
          <w:b/>
        </w:rPr>
      </w:pPr>
      <w:r w:rsidRPr="00A97A0D">
        <w:rPr>
          <w:b/>
        </w:rPr>
        <w:br w:type="page"/>
      </w:r>
    </w:p>
    <w:p w:rsidR="00075E63" w:rsidRPr="00CE35C5" w:rsidRDefault="00075E63" w:rsidP="00A97A0D"/>
    <w:sectPr w:rsidR="00075E63" w:rsidRPr="00CE35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fsrz2pv4d5rz9e0r0ovx5pss9pa0er52taf&quot;&gt;TT2013 refs&lt;record-ids&gt;&lt;item&gt;9&lt;/item&gt;&lt;/record-ids&gt;&lt;/item&gt;&lt;/Libraries&gt;"/>
  </w:docVars>
  <w:rsids>
    <w:rsidRoot w:val="00096A00"/>
    <w:rsid w:val="0003110A"/>
    <w:rsid w:val="000534E1"/>
    <w:rsid w:val="00075E63"/>
    <w:rsid w:val="000859A0"/>
    <w:rsid w:val="00096A00"/>
    <w:rsid w:val="000E660E"/>
    <w:rsid w:val="00100991"/>
    <w:rsid w:val="00104168"/>
    <w:rsid w:val="00110670"/>
    <w:rsid w:val="00125796"/>
    <w:rsid w:val="00131AF0"/>
    <w:rsid w:val="001C1D1C"/>
    <w:rsid w:val="001C6BB0"/>
    <w:rsid w:val="001E12C8"/>
    <w:rsid w:val="001E795E"/>
    <w:rsid w:val="00217CA6"/>
    <w:rsid w:val="00232BD9"/>
    <w:rsid w:val="00290262"/>
    <w:rsid w:val="002E4A77"/>
    <w:rsid w:val="002E4BC5"/>
    <w:rsid w:val="003456EF"/>
    <w:rsid w:val="003533EC"/>
    <w:rsid w:val="00366A5B"/>
    <w:rsid w:val="003A0010"/>
    <w:rsid w:val="003E6CAF"/>
    <w:rsid w:val="004148E9"/>
    <w:rsid w:val="00441173"/>
    <w:rsid w:val="00441C45"/>
    <w:rsid w:val="00453A30"/>
    <w:rsid w:val="00475BB5"/>
    <w:rsid w:val="00506E0A"/>
    <w:rsid w:val="0051064A"/>
    <w:rsid w:val="005B12FA"/>
    <w:rsid w:val="00676C99"/>
    <w:rsid w:val="0068573C"/>
    <w:rsid w:val="00691A37"/>
    <w:rsid w:val="006A62C1"/>
    <w:rsid w:val="006E68E9"/>
    <w:rsid w:val="007A3BC3"/>
    <w:rsid w:val="007D7834"/>
    <w:rsid w:val="007E56D4"/>
    <w:rsid w:val="00835D1A"/>
    <w:rsid w:val="008A788E"/>
    <w:rsid w:val="008F060E"/>
    <w:rsid w:val="008F1573"/>
    <w:rsid w:val="0090387B"/>
    <w:rsid w:val="00986363"/>
    <w:rsid w:val="009C3CE6"/>
    <w:rsid w:val="00A04828"/>
    <w:rsid w:val="00A22129"/>
    <w:rsid w:val="00A97A0D"/>
    <w:rsid w:val="00AA09AC"/>
    <w:rsid w:val="00B22693"/>
    <w:rsid w:val="00B43D15"/>
    <w:rsid w:val="00BB5626"/>
    <w:rsid w:val="00BD44F7"/>
    <w:rsid w:val="00BE70B1"/>
    <w:rsid w:val="00C73EAB"/>
    <w:rsid w:val="00CE35C5"/>
    <w:rsid w:val="00D401C2"/>
    <w:rsid w:val="00D74629"/>
    <w:rsid w:val="00D970B2"/>
    <w:rsid w:val="00DA484C"/>
    <w:rsid w:val="00DC0312"/>
    <w:rsid w:val="00E0294B"/>
    <w:rsid w:val="00E2344E"/>
    <w:rsid w:val="00E4743B"/>
    <w:rsid w:val="00E81A79"/>
    <w:rsid w:val="00EA6289"/>
    <w:rsid w:val="00F34390"/>
    <w:rsid w:val="00F646DE"/>
    <w:rsid w:val="00FA771F"/>
    <w:rsid w:val="00FC6C6F"/>
    <w:rsid w:val="00FD3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6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6A00"/>
    <w:pPr>
      <w:ind w:left="720"/>
      <w:contextualSpacing/>
    </w:pPr>
  </w:style>
  <w:style w:type="table" w:styleId="LightList">
    <w:name w:val="Light List"/>
    <w:basedOn w:val="TableNormal"/>
    <w:uiPriority w:val="61"/>
    <w:rsid w:val="00096A0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096A0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68573C"/>
    <w:rPr>
      <w:color w:val="0000FF" w:themeColor="hyperlink"/>
      <w:u w:val="single"/>
    </w:rPr>
  </w:style>
  <w:style w:type="paragraph" w:styleId="BalloonText">
    <w:name w:val="Balloon Text"/>
    <w:basedOn w:val="Normal"/>
    <w:link w:val="BalloonTextChar"/>
    <w:uiPriority w:val="99"/>
    <w:semiHidden/>
    <w:unhideWhenUsed/>
    <w:rsid w:val="008A7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88E"/>
    <w:rPr>
      <w:rFonts w:ascii="Tahoma" w:hAnsi="Tahoma" w:cs="Tahoma"/>
      <w:sz w:val="16"/>
      <w:szCs w:val="16"/>
    </w:rPr>
  </w:style>
  <w:style w:type="character" w:styleId="CommentReference">
    <w:name w:val="annotation reference"/>
    <w:basedOn w:val="DefaultParagraphFont"/>
    <w:unhideWhenUsed/>
    <w:rsid w:val="003A0010"/>
    <w:rPr>
      <w:sz w:val="16"/>
      <w:szCs w:val="16"/>
    </w:rPr>
  </w:style>
  <w:style w:type="paragraph" w:styleId="CommentText">
    <w:name w:val="annotation text"/>
    <w:basedOn w:val="Normal"/>
    <w:link w:val="CommentTextChar"/>
    <w:unhideWhenUsed/>
    <w:rsid w:val="003A0010"/>
    <w:pPr>
      <w:spacing w:line="240" w:lineRule="auto"/>
    </w:pPr>
    <w:rPr>
      <w:sz w:val="20"/>
      <w:szCs w:val="20"/>
    </w:rPr>
  </w:style>
  <w:style w:type="character" w:customStyle="1" w:styleId="CommentTextChar">
    <w:name w:val="Comment Text Char"/>
    <w:basedOn w:val="DefaultParagraphFont"/>
    <w:link w:val="CommentText"/>
    <w:rsid w:val="003A0010"/>
    <w:rPr>
      <w:sz w:val="20"/>
      <w:szCs w:val="20"/>
    </w:rPr>
  </w:style>
  <w:style w:type="paragraph" w:styleId="CommentSubject">
    <w:name w:val="annotation subject"/>
    <w:basedOn w:val="CommentText"/>
    <w:next w:val="CommentText"/>
    <w:link w:val="CommentSubjectChar"/>
    <w:uiPriority w:val="99"/>
    <w:semiHidden/>
    <w:unhideWhenUsed/>
    <w:rsid w:val="003A0010"/>
    <w:rPr>
      <w:b/>
      <w:bCs/>
    </w:rPr>
  </w:style>
  <w:style w:type="character" w:customStyle="1" w:styleId="CommentSubjectChar">
    <w:name w:val="Comment Subject Char"/>
    <w:basedOn w:val="CommentTextChar"/>
    <w:link w:val="CommentSubject"/>
    <w:uiPriority w:val="99"/>
    <w:semiHidden/>
    <w:rsid w:val="003A0010"/>
    <w:rPr>
      <w:b/>
      <w:bCs/>
      <w:sz w:val="20"/>
      <w:szCs w:val="20"/>
    </w:rPr>
  </w:style>
  <w:style w:type="table" w:customStyle="1" w:styleId="TableGrid1">
    <w:name w:val="Table Grid1"/>
    <w:basedOn w:val="TableNormal"/>
    <w:next w:val="TableGrid"/>
    <w:rsid w:val="007A3BC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6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6A00"/>
    <w:pPr>
      <w:ind w:left="720"/>
      <w:contextualSpacing/>
    </w:pPr>
  </w:style>
  <w:style w:type="table" w:styleId="LightList">
    <w:name w:val="Light List"/>
    <w:basedOn w:val="TableNormal"/>
    <w:uiPriority w:val="61"/>
    <w:rsid w:val="00096A0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096A0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68573C"/>
    <w:rPr>
      <w:color w:val="0000FF" w:themeColor="hyperlink"/>
      <w:u w:val="single"/>
    </w:rPr>
  </w:style>
  <w:style w:type="paragraph" w:styleId="BalloonText">
    <w:name w:val="Balloon Text"/>
    <w:basedOn w:val="Normal"/>
    <w:link w:val="BalloonTextChar"/>
    <w:uiPriority w:val="99"/>
    <w:semiHidden/>
    <w:unhideWhenUsed/>
    <w:rsid w:val="008A7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88E"/>
    <w:rPr>
      <w:rFonts w:ascii="Tahoma" w:hAnsi="Tahoma" w:cs="Tahoma"/>
      <w:sz w:val="16"/>
      <w:szCs w:val="16"/>
    </w:rPr>
  </w:style>
  <w:style w:type="character" w:styleId="CommentReference">
    <w:name w:val="annotation reference"/>
    <w:basedOn w:val="DefaultParagraphFont"/>
    <w:unhideWhenUsed/>
    <w:rsid w:val="003A0010"/>
    <w:rPr>
      <w:sz w:val="16"/>
      <w:szCs w:val="16"/>
    </w:rPr>
  </w:style>
  <w:style w:type="paragraph" w:styleId="CommentText">
    <w:name w:val="annotation text"/>
    <w:basedOn w:val="Normal"/>
    <w:link w:val="CommentTextChar"/>
    <w:unhideWhenUsed/>
    <w:rsid w:val="003A0010"/>
    <w:pPr>
      <w:spacing w:line="240" w:lineRule="auto"/>
    </w:pPr>
    <w:rPr>
      <w:sz w:val="20"/>
      <w:szCs w:val="20"/>
    </w:rPr>
  </w:style>
  <w:style w:type="character" w:customStyle="1" w:styleId="CommentTextChar">
    <w:name w:val="Comment Text Char"/>
    <w:basedOn w:val="DefaultParagraphFont"/>
    <w:link w:val="CommentText"/>
    <w:rsid w:val="003A0010"/>
    <w:rPr>
      <w:sz w:val="20"/>
      <w:szCs w:val="20"/>
    </w:rPr>
  </w:style>
  <w:style w:type="paragraph" w:styleId="CommentSubject">
    <w:name w:val="annotation subject"/>
    <w:basedOn w:val="CommentText"/>
    <w:next w:val="CommentText"/>
    <w:link w:val="CommentSubjectChar"/>
    <w:uiPriority w:val="99"/>
    <w:semiHidden/>
    <w:unhideWhenUsed/>
    <w:rsid w:val="003A0010"/>
    <w:rPr>
      <w:b/>
      <w:bCs/>
    </w:rPr>
  </w:style>
  <w:style w:type="character" w:customStyle="1" w:styleId="CommentSubjectChar">
    <w:name w:val="Comment Subject Char"/>
    <w:basedOn w:val="CommentTextChar"/>
    <w:link w:val="CommentSubject"/>
    <w:uiPriority w:val="99"/>
    <w:semiHidden/>
    <w:rsid w:val="003A0010"/>
    <w:rPr>
      <w:b/>
      <w:bCs/>
      <w:sz w:val="20"/>
      <w:szCs w:val="20"/>
    </w:rPr>
  </w:style>
  <w:style w:type="table" w:customStyle="1" w:styleId="TableGrid1">
    <w:name w:val="Table Grid1"/>
    <w:basedOn w:val="TableNormal"/>
    <w:next w:val="TableGrid"/>
    <w:rsid w:val="007A3BC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99139">
      <w:bodyDiv w:val="1"/>
      <w:marLeft w:val="0"/>
      <w:marRight w:val="0"/>
      <w:marTop w:val="0"/>
      <w:marBottom w:val="0"/>
      <w:divBdr>
        <w:top w:val="none" w:sz="0" w:space="0" w:color="auto"/>
        <w:left w:val="none" w:sz="0" w:space="0" w:color="auto"/>
        <w:bottom w:val="none" w:sz="0" w:space="0" w:color="auto"/>
        <w:right w:val="none" w:sz="0" w:space="0" w:color="auto"/>
      </w:divBdr>
    </w:div>
    <w:div w:id="128018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sets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4EA74-BDE7-42D7-95FE-599ED996E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2032</Words>
  <Characters>11584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 Stephen</dc:creator>
  <cp:lastModifiedBy>Mike Lehane</cp:lastModifiedBy>
  <cp:revision>2</cp:revision>
  <cp:lastPrinted>2014-05-21T16:34:00Z</cp:lastPrinted>
  <dcterms:created xsi:type="dcterms:W3CDTF">2015-06-30T15:56:00Z</dcterms:created>
  <dcterms:modified xsi:type="dcterms:W3CDTF">2015-06-30T15:56:00Z</dcterms:modified>
</cp:coreProperties>
</file>