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A0" w:rsidRPr="00F810D5" w:rsidRDefault="0063663F" w:rsidP="005F6CA0">
      <w:pPr>
        <w:rPr>
          <w:b/>
          <w:sz w:val="32"/>
        </w:rPr>
      </w:pPr>
      <w:bookmarkStart w:id="0" w:name="_GoBack"/>
      <w:r w:rsidRPr="00F810D5">
        <w:rPr>
          <w:b/>
          <w:sz w:val="32"/>
        </w:rPr>
        <w:t>Supporting Information</w:t>
      </w:r>
    </w:p>
    <w:bookmarkEnd w:id="0"/>
    <w:p w:rsidR="005F6CA0" w:rsidRDefault="005F6CA0" w:rsidP="005F6CA0"/>
    <w:p w:rsidR="005F6CA0" w:rsidRPr="00F810D5" w:rsidRDefault="005F6CA0" w:rsidP="0044222B">
      <w:pPr>
        <w:rPr>
          <w:b/>
          <w:sz w:val="28"/>
        </w:rPr>
      </w:pPr>
      <w:r w:rsidRPr="00F810D5">
        <w:rPr>
          <w:b/>
          <w:sz w:val="28"/>
        </w:rPr>
        <w:t>Arsenic levels in urine and antimonial treatment outcome in visceral leishmaniasis patients</w:t>
      </w:r>
    </w:p>
    <w:p w:rsidR="005F6CA0" w:rsidRDefault="005F6CA0" w:rsidP="005F6CA0">
      <w:pPr>
        <w:jc w:val="both"/>
      </w:pPr>
    </w:p>
    <w:p w:rsidR="005F6CA0" w:rsidRPr="00F810D5" w:rsidRDefault="005F6CA0" w:rsidP="005F6CA0">
      <w:pPr>
        <w:jc w:val="both"/>
        <w:rPr>
          <w:b/>
          <w:sz w:val="28"/>
        </w:rPr>
      </w:pPr>
      <w:r w:rsidRPr="00F810D5">
        <w:rPr>
          <w:b/>
          <w:sz w:val="28"/>
        </w:rPr>
        <w:t>Methods</w:t>
      </w:r>
    </w:p>
    <w:p w:rsidR="00FB24CD" w:rsidRPr="00FB694E" w:rsidRDefault="00FB24CD" w:rsidP="005F6CA0">
      <w:pPr>
        <w:jc w:val="both"/>
        <w:rPr>
          <w:b/>
        </w:rPr>
      </w:pPr>
    </w:p>
    <w:p w:rsidR="005F6CA0" w:rsidRPr="00F810D5" w:rsidRDefault="005F6CA0" w:rsidP="005F6CA0">
      <w:pPr>
        <w:jc w:val="both"/>
        <w:rPr>
          <w:sz w:val="28"/>
        </w:rPr>
      </w:pPr>
      <w:r w:rsidRPr="00F810D5">
        <w:rPr>
          <w:sz w:val="28"/>
        </w:rPr>
        <w:t>Sample collection and analysis</w:t>
      </w:r>
    </w:p>
    <w:p w:rsidR="005F6CA0" w:rsidRDefault="005F6CA0" w:rsidP="0044222B">
      <w:pPr>
        <w:jc w:val="both"/>
      </w:pPr>
      <w:r>
        <w:t>At the time of field questionnaire patients were requested to provide a sample of urine of at least 5 ml. Urine samples were preserved with a drop of hydrochloric acid and kept in cold conditions.</w:t>
      </w:r>
    </w:p>
    <w:p w:rsidR="0044222B" w:rsidRDefault="0044222B" w:rsidP="0044222B">
      <w:pPr>
        <w:jc w:val="both"/>
      </w:pPr>
    </w:p>
    <w:p w:rsidR="005F6CA0" w:rsidRDefault="005F6CA0" w:rsidP="0044222B">
      <w:pPr>
        <w:jc w:val="both"/>
      </w:pPr>
      <w:r>
        <w:t>Prior to analysis, the urine samples were centrifuged at 3000 rev min</w:t>
      </w:r>
      <w:r>
        <w:rPr>
          <w:vertAlign w:val="superscript"/>
        </w:rPr>
        <w:t>-1</w:t>
      </w:r>
      <w:r>
        <w:t xml:space="preserve"> for 10 min and filtered through a 0.45-</w:t>
      </w:r>
      <w:r w:rsidR="00CD0916">
        <w:sym w:font="Symbol" w:char="F06D"/>
      </w:r>
      <w:r>
        <w:t>m membrane filter (</w:t>
      </w:r>
      <w:proofErr w:type="spellStart"/>
      <w:r>
        <w:t>Chromatodisc</w:t>
      </w:r>
      <w:proofErr w:type="spellEnd"/>
      <w:r>
        <w:t xml:space="preserve"> 25A) to remove the suspended particulate. </w:t>
      </w:r>
      <w:r>
        <w:rPr>
          <w:iCs/>
          <w:shd w:val="clear" w:color="auto" w:fill="FFFFFF"/>
          <w:lang w:eastAsia="en-GB"/>
        </w:rPr>
        <w:t xml:space="preserve">The urine was then digested for total arsenic analysis: 1 ml of the urine sample was placed in a small </w:t>
      </w:r>
      <w:proofErr w:type="spellStart"/>
      <w:r>
        <w:rPr>
          <w:iCs/>
          <w:shd w:val="clear" w:color="auto" w:fill="FFFFFF"/>
          <w:lang w:eastAsia="en-GB"/>
        </w:rPr>
        <w:t>Kjehldahl</w:t>
      </w:r>
      <w:proofErr w:type="spellEnd"/>
      <w:r>
        <w:rPr>
          <w:iCs/>
          <w:shd w:val="clear" w:color="auto" w:fill="FFFFFF"/>
          <w:lang w:eastAsia="en-GB"/>
        </w:rPr>
        <w:t xml:space="preserve"> flask and </w:t>
      </w:r>
      <w:r w:rsidR="00970775">
        <w:rPr>
          <w:iCs/>
          <w:shd w:val="clear" w:color="auto" w:fill="FFFFFF"/>
          <w:lang w:eastAsia="en-GB"/>
        </w:rPr>
        <w:t xml:space="preserve">to this was added </w:t>
      </w:r>
      <w:proofErr w:type="spellStart"/>
      <w:r w:rsidR="00970775">
        <w:rPr>
          <w:iCs/>
          <w:shd w:val="clear" w:color="auto" w:fill="FFFFFF"/>
          <w:lang w:eastAsia="en-GB"/>
        </w:rPr>
        <w:t>Suprapur</w:t>
      </w:r>
      <w:proofErr w:type="spellEnd"/>
      <w:r w:rsidR="00970775" w:rsidRPr="00970775">
        <w:rPr>
          <w:iCs/>
          <w:shd w:val="clear" w:color="auto" w:fill="FFFFFF"/>
          <w:vertAlign w:val="superscript"/>
          <w:lang w:eastAsia="en-GB"/>
        </w:rPr>
        <w:t>®</w:t>
      </w:r>
      <w:r w:rsidR="00970775">
        <w:rPr>
          <w:iCs/>
          <w:shd w:val="clear" w:color="auto" w:fill="FFFFFF"/>
          <w:lang w:eastAsia="en-GB"/>
        </w:rPr>
        <w:t xml:space="preserve"> acid (</w:t>
      </w:r>
      <w:r w:rsidR="00662D77">
        <w:rPr>
          <w:iCs/>
          <w:shd w:val="clear" w:color="auto" w:fill="FFFFFF"/>
          <w:lang w:eastAsia="en-GB"/>
        </w:rPr>
        <w:t>0.5 ml</w:t>
      </w:r>
      <w:r>
        <w:rPr>
          <w:iCs/>
          <w:shd w:val="clear" w:color="auto" w:fill="FFFFFF"/>
          <w:lang w:eastAsia="en-GB"/>
        </w:rPr>
        <w:t xml:space="preserve"> </w:t>
      </w:r>
      <w:r w:rsidR="00FB24CD">
        <w:rPr>
          <w:iCs/>
          <w:shd w:val="clear" w:color="auto" w:fill="FFFFFF"/>
          <w:lang w:eastAsia="en-GB"/>
        </w:rPr>
        <w:t>HNO</w:t>
      </w:r>
      <w:r>
        <w:rPr>
          <w:iCs/>
          <w:shd w:val="clear" w:color="auto" w:fill="FFFFFF"/>
          <w:vertAlign w:val="subscript"/>
          <w:lang w:eastAsia="en-GB"/>
        </w:rPr>
        <w:t>3</w:t>
      </w:r>
      <w:r w:rsidR="00970775">
        <w:rPr>
          <w:iCs/>
          <w:shd w:val="clear" w:color="auto" w:fill="FFFFFF"/>
          <w:lang w:eastAsia="en-GB"/>
        </w:rPr>
        <w:t>, 0.2 ml H</w:t>
      </w:r>
      <w:r w:rsidR="00970775">
        <w:rPr>
          <w:iCs/>
          <w:shd w:val="clear" w:color="auto" w:fill="FFFFFF"/>
          <w:vertAlign w:val="subscript"/>
          <w:lang w:eastAsia="en-GB"/>
        </w:rPr>
        <w:t>2</w:t>
      </w:r>
      <w:r w:rsidR="00970775">
        <w:rPr>
          <w:iCs/>
          <w:shd w:val="clear" w:color="auto" w:fill="FFFFFF"/>
          <w:lang w:eastAsia="en-GB"/>
        </w:rPr>
        <w:t>SO</w:t>
      </w:r>
      <w:r w:rsidR="00970775">
        <w:rPr>
          <w:iCs/>
          <w:shd w:val="clear" w:color="auto" w:fill="FFFFFF"/>
          <w:vertAlign w:val="subscript"/>
          <w:lang w:eastAsia="en-GB"/>
        </w:rPr>
        <w:t>4</w:t>
      </w:r>
      <w:r>
        <w:rPr>
          <w:iCs/>
          <w:shd w:val="clear" w:color="auto" w:fill="FFFFFF"/>
          <w:lang w:eastAsia="en-GB"/>
        </w:rPr>
        <w:t xml:space="preserve"> and </w:t>
      </w:r>
      <w:r w:rsidR="00662D77">
        <w:rPr>
          <w:iCs/>
          <w:shd w:val="clear" w:color="auto" w:fill="FFFFFF"/>
          <w:lang w:eastAsia="en-GB"/>
        </w:rPr>
        <w:t>0.2 ml</w:t>
      </w:r>
      <w:r>
        <w:rPr>
          <w:iCs/>
          <w:shd w:val="clear" w:color="auto" w:fill="FFFFFF"/>
          <w:lang w:eastAsia="en-GB"/>
        </w:rPr>
        <w:t xml:space="preserve"> HC1</w:t>
      </w:r>
      <w:r w:rsidR="00FB24CD">
        <w:rPr>
          <w:iCs/>
          <w:shd w:val="clear" w:color="auto" w:fill="FFFFFF"/>
          <w:lang w:eastAsia="en-GB"/>
        </w:rPr>
        <w:t>O</w:t>
      </w:r>
      <w:r>
        <w:rPr>
          <w:iCs/>
          <w:shd w:val="clear" w:color="auto" w:fill="FFFFFF"/>
          <w:vertAlign w:val="subscript"/>
          <w:lang w:eastAsia="en-GB"/>
        </w:rPr>
        <w:t>4</w:t>
      </w:r>
      <w:r w:rsidR="00970775">
        <w:rPr>
          <w:iCs/>
          <w:shd w:val="clear" w:color="auto" w:fill="FFFFFF"/>
          <w:lang w:eastAsia="en-GB"/>
        </w:rPr>
        <w:t>)</w:t>
      </w:r>
      <w:r>
        <w:rPr>
          <w:iCs/>
          <w:shd w:val="clear" w:color="auto" w:fill="FFFFFF"/>
          <w:lang w:eastAsia="en-GB"/>
        </w:rPr>
        <w:t xml:space="preserve">. The sample was heated using a small funnel at the top of a sand-bath until it became clear. If necessary, a </w:t>
      </w:r>
      <w:r w:rsidR="00662D77">
        <w:rPr>
          <w:iCs/>
          <w:shd w:val="clear" w:color="auto" w:fill="FFFFFF"/>
          <w:lang w:eastAsia="en-GB"/>
        </w:rPr>
        <w:t>0.2 ml</w:t>
      </w:r>
      <w:r>
        <w:rPr>
          <w:iCs/>
          <w:shd w:val="clear" w:color="auto" w:fill="FFFFFF"/>
          <w:lang w:eastAsia="en-GB"/>
        </w:rPr>
        <w:t xml:space="preserve"> aliquot of </w:t>
      </w:r>
      <w:r w:rsidR="00FB24CD">
        <w:rPr>
          <w:iCs/>
          <w:shd w:val="clear" w:color="auto" w:fill="FFFFFF"/>
          <w:lang w:eastAsia="en-GB"/>
        </w:rPr>
        <w:t>HNO</w:t>
      </w:r>
      <w:r>
        <w:rPr>
          <w:iCs/>
          <w:shd w:val="clear" w:color="auto" w:fill="FFFFFF"/>
          <w:vertAlign w:val="subscript"/>
          <w:lang w:eastAsia="en-GB"/>
        </w:rPr>
        <w:t>3</w:t>
      </w:r>
      <w:r>
        <w:rPr>
          <w:iCs/>
          <w:shd w:val="clear" w:color="auto" w:fill="FFFFFF"/>
          <w:lang w:eastAsia="en-GB"/>
        </w:rPr>
        <w:t xml:space="preserve"> was subsequently added. Again the sample was heated until fumes of SO</w:t>
      </w:r>
      <w:r>
        <w:rPr>
          <w:iCs/>
          <w:shd w:val="clear" w:color="auto" w:fill="FFFFFF"/>
          <w:vertAlign w:val="subscript"/>
          <w:lang w:eastAsia="en-GB"/>
        </w:rPr>
        <w:t>3</w:t>
      </w:r>
      <w:r>
        <w:rPr>
          <w:iCs/>
          <w:shd w:val="clear" w:color="auto" w:fill="FFFFFF"/>
          <w:lang w:eastAsia="en-GB"/>
        </w:rPr>
        <w:t xml:space="preserve"> evolved. The solution was cooled and made up to a volume of 5 ml. </w:t>
      </w:r>
      <w:r>
        <w:rPr>
          <w:color w:val="000000"/>
          <w:shd w:val="clear" w:color="auto" w:fill="FFFFFF"/>
          <w:lang w:eastAsia="en-GB"/>
        </w:rPr>
        <w:t xml:space="preserve">Total arsenic in the urine samples, as stable urinary metabolites of arsenic, was measured using FI-HG-AAS against a standard reference material (SRM 2670) obtained from the National Institute of Standards and Technology </w:t>
      </w:r>
      <w:r>
        <w:t>(NIST,</w:t>
      </w:r>
      <w:r>
        <w:rPr>
          <w:color w:val="000000"/>
          <w:shd w:val="clear" w:color="auto" w:fill="FFFFFF"/>
          <w:lang w:eastAsia="en-GB"/>
        </w:rPr>
        <w:t xml:space="preserve"> </w:t>
      </w:r>
      <w:r>
        <w:t>Gaithersburg, MD, USA).</w:t>
      </w:r>
    </w:p>
    <w:p w:rsidR="0044222B" w:rsidRDefault="0044222B" w:rsidP="00FB24CD">
      <w:pPr>
        <w:ind w:firstLine="720"/>
        <w:jc w:val="both"/>
      </w:pPr>
    </w:p>
    <w:p w:rsidR="005F6CA0" w:rsidRPr="008F1A87" w:rsidRDefault="005F6CA0" w:rsidP="0044222B">
      <w:pPr>
        <w:jc w:val="both"/>
        <w:rPr>
          <w:rFonts w:cs="Courier New"/>
          <w:lang w:bidi="hi-IN"/>
        </w:rPr>
      </w:pPr>
      <w:r>
        <w:rPr>
          <w:rFonts w:cs="Courier New"/>
          <w:lang w:bidi="hi-IN"/>
        </w:rPr>
        <w:t xml:space="preserve">For quality control, 18 (26%) of the available urine samples were selected to represent normal (n=9; 5-40 </w:t>
      </w:r>
      <w:r w:rsidR="00CD0916">
        <w:rPr>
          <w:color w:val="000000"/>
        </w:rPr>
        <w:sym w:font="Symbol" w:char="F06D"/>
      </w:r>
      <w:r>
        <w:rPr>
          <w:color w:val="000000"/>
        </w:rPr>
        <w:t>g/L)</w:t>
      </w:r>
      <w:r>
        <w:rPr>
          <w:rFonts w:cs="Courier New"/>
          <w:lang w:bidi="hi-IN"/>
        </w:rPr>
        <w:t xml:space="preserve"> and elevated (n=9; &gt;40 </w:t>
      </w:r>
      <w:r w:rsidR="00CD0916">
        <w:rPr>
          <w:color w:val="000000"/>
        </w:rPr>
        <w:sym w:font="Symbol" w:char="F06D"/>
      </w:r>
      <w:r>
        <w:rPr>
          <w:color w:val="000000"/>
        </w:rPr>
        <w:t>g/L</w:t>
      </w:r>
      <w:r>
        <w:rPr>
          <w:rFonts w:cs="Courier New"/>
          <w:lang w:bidi="hi-IN"/>
        </w:rPr>
        <w:t>) urinary arsenic levels detected. These samples were re-analy</w:t>
      </w:r>
      <w:r w:rsidR="00910DD5">
        <w:rPr>
          <w:rFonts w:cs="Courier New"/>
          <w:lang w:bidi="hi-IN"/>
        </w:rPr>
        <w:t>z</w:t>
      </w:r>
      <w:r>
        <w:rPr>
          <w:rFonts w:cs="Courier New"/>
          <w:lang w:bidi="hi-IN"/>
        </w:rPr>
        <w:t xml:space="preserve">ed by Inductively Coupled Plasma Mass Spectrometry (ICP-MS) at Aberdeen University using a method described previously </w:t>
      </w:r>
      <w:r>
        <w:rPr>
          <w:rFonts w:cs="Courier New"/>
          <w:lang w:bidi="hi-IN"/>
        </w:rPr>
        <w:fldChar w:fldCharType="begin">
          <w:fldData xml:space="preserve">PFJlZm1hbj48Q2l0ZT48QXV0aG9yPldpbGxpYW1zPC9BdXRob3I+PFllYXI+MjAwNzwvWWVhcj48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</w:fldData>
        </w:fldChar>
      </w:r>
      <w:r w:rsidR="00FB24CD">
        <w:rPr>
          <w:rFonts w:cs="Courier New"/>
          <w:lang w:bidi="hi-IN"/>
        </w:rPr>
        <w:instrText xml:space="preserve"> ADDIN REFMGR.CITE </w:instrText>
      </w:r>
      <w:r w:rsidR="00FB24CD">
        <w:rPr>
          <w:rFonts w:cs="Courier New"/>
          <w:lang w:bidi="hi-IN"/>
        </w:rPr>
        <w:fldChar w:fldCharType="begin">
          <w:fldData xml:space="preserve">PFJlZm1hbj48Q2l0ZT48QXV0aG9yPldpbGxpYW1zPC9BdXRob3I+PFllYXI+MjAwNzwvWWVhcj48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</w:fldData>
        </w:fldChar>
      </w:r>
      <w:r w:rsidR="00FB24CD">
        <w:rPr>
          <w:rFonts w:cs="Courier New"/>
          <w:lang w:bidi="hi-IN"/>
        </w:rPr>
        <w:instrText xml:space="preserve"> ADDIN EN.CITE.DATA </w:instrText>
      </w:r>
      <w:r w:rsidR="00FB24CD">
        <w:rPr>
          <w:rFonts w:cs="Courier New"/>
          <w:lang w:bidi="hi-IN"/>
        </w:rPr>
      </w:r>
      <w:r w:rsidR="00FB24CD">
        <w:rPr>
          <w:rFonts w:cs="Courier New"/>
          <w:lang w:bidi="hi-IN"/>
        </w:rPr>
        <w:fldChar w:fldCharType="end"/>
      </w:r>
      <w:r>
        <w:rPr>
          <w:rFonts w:cs="Courier New"/>
          <w:lang w:bidi="hi-IN"/>
        </w:rPr>
      </w:r>
      <w:r>
        <w:rPr>
          <w:rFonts w:cs="Courier New"/>
          <w:lang w:bidi="hi-IN"/>
        </w:rPr>
        <w:fldChar w:fldCharType="separate"/>
      </w:r>
      <w:r w:rsidR="00FB24CD" w:rsidRPr="00FB24CD">
        <w:rPr>
          <w:rFonts w:ascii="Arial" w:hAnsi="Arial" w:cs="Arial"/>
          <w:noProof/>
          <w:lang w:bidi="hi-IN"/>
        </w:rPr>
        <w:t>[</w:t>
      </w:r>
      <w:r w:rsidR="00FB24CD">
        <w:rPr>
          <w:rFonts w:cs="Courier New"/>
          <w:noProof/>
          <w:lang w:bidi="hi-IN"/>
        </w:rPr>
        <w:t>1</w:t>
      </w:r>
      <w:r w:rsidR="00FB24CD" w:rsidRPr="00FB24CD">
        <w:rPr>
          <w:rFonts w:ascii="Arial" w:hAnsi="Arial" w:cs="Arial"/>
          <w:noProof/>
          <w:lang w:bidi="hi-IN"/>
        </w:rPr>
        <w:t>]</w:t>
      </w:r>
      <w:r>
        <w:rPr>
          <w:rFonts w:cs="Courier New"/>
          <w:lang w:bidi="hi-IN"/>
        </w:rPr>
        <w:fldChar w:fldCharType="end"/>
      </w:r>
      <w:r>
        <w:rPr>
          <w:rFonts w:cs="Courier New"/>
          <w:lang w:bidi="hi-IN"/>
        </w:rPr>
        <w:t>.</w:t>
      </w:r>
    </w:p>
    <w:p w:rsidR="00FB24CD" w:rsidRDefault="00FB24CD" w:rsidP="005F6CA0">
      <w:pPr>
        <w:keepNext/>
        <w:jc w:val="both"/>
        <w:rPr>
          <w:b/>
          <w:i/>
          <w:color w:val="000000"/>
        </w:rPr>
      </w:pPr>
    </w:p>
    <w:p w:rsidR="005F6CA0" w:rsidRPr="00F810D5" w:rsidRDefault="005F6CA0" w:rsidP="005F6CA0">
      <w:pPr>
        <w:keepNext/>
        <w:jc w:val="both"/>
        <w:rPr>
          <w:color w:val="000000"/>
          <w:sz w:val="28"/>
        </w:rPr>
      </w:pPr>
      <w:r w:rsidRPr="00F810D5">
        <w:rPr>
          <w:color w:val="000000"/>
          <w:sz w:val="28"/>
        </w:rPr>
        <w:t>Data management</w:t>
      </w:r>
    </w:p>
    <w:p w:rsidR="005F6CA0" w:rsidRPr="001971AC" w:rsidRDefault="005F6CA0" w:rsidP="0044222B">
      <w:pPr>
        <w:keepNext/>
        <w:jc w:val="both"/>
        <w:rPr>
          <w:color w:val="000000"/>
        </w:rPr>
      </w:pPr>
      <w:r w:rsidRPr="001971AC">
        <w:rPr>
          <w:color w:val="000000"/>
        </w:rPr>
        <w:t xml:space="preserve">The urine arsenic exposure variable was created with a binary cut off of arsenic contamination for a spot urine sample </w:t>
      </w:r>
      <w:r>
        <w:rPr>
          <w:color w:val="000000"/>
        </w:rPr>
        <w:t xml:space="preserve">above the normal range of 5-40 </w:t>
      </w:r>
      <w:r w:rsidR="00CD0916">
        <w:rPr>
          <w:color w:val="000000"/>
        </w:rPr>
        <w:sym w:font="Symbol" w:char="F06D"/>
      </w:r>
      <w:r w:rsidRPr="001971AC">
        <w:rPr>
          <w:color w:val="000000"/>
        </w:rPr>
        <w:t xml:space="preserve">g/L </w:t>
      </w:r>
      <w:r w:rsidRPr="001971AC">
        <w:rPr>
          <w:color w:val="000000"/>
        </w:rPr>
        <w:fldChar w:fldCharType="begin">
          <w:fldData xml:space="preserve">PFJlZm1hbj48Q2l0ZT48QXV0aG9yPlJhdmVuc2Nyb2Z0PC9BdXRob3I+PFllYXI+MjAwOTwvWWVh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</w:fldData>
        </w:fldChar>
      </w:r>
      <w:r w:rsidR="00FB24CD">
        <w:rPr>
          <w:color w:val="000000"/>
        </w:rPr>
        <w:instrText xml:space="preserve"> ADDIN REFMGR.CITE </w:instrText>
      </w:r>
      <w:r w:rsidR="00FB24CD">
        <w:rPr>
          <w:color w:val="000000"/>
        </w:rPr>
        <w:fldChar w:fldCharType="begin">
          <w:fldData xml:space="preserve">PFJlZm1hbj48Q2l0ZT48QXV0aG9yPlJhdmVuc2Nyb2Z0PC9BdXRob3I+PFllYXI+MjAwOTwvWWVh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</w:fldData>
        </w:fldChar>
      </w:r>
      <w:r w:rsidR="00FB24CD">
        <w:rPr>
          <w:color w:val="000000"/>
        </w:rPr>
        <w:instrText xml:space="preserve"> ADDIN EN.CITE.DATA </w:instrText>
      </w:r>
      <w:r w:rsidR="00FB24CD">
        <w:rPr>
          <w:color w:val="000000"/>
        </w:rPr>
      </w:r>
      <w:r w:rsidR="00FB24CD">
        <w:rPr>
          <w:color w:val="000000"/>
        </w:rPr>
        <w:fldChar w:fldCharType="end"/>
      </w:r>
      <w:r w:rsidRPr="001971AC">
        <w:rPr>
          <w:color w:val="000000"/>
        </w:rPr>
      </w:r>
      <w:r w:rsidRPr="001971AC">
        <w:rPr>
          <w:color w:val="000000"/>
        </w:rPr>
        <w:fldChar w:fldCharType="separate"/>
      </w:r>
      <w:r w:rsidR="00FB24CD" w:rsidRPr="00FB24CD">
        <w:rPr>
          <w:rFonts w:ascii="Arial" w:hAnsi="Arial" w:cs="Arial"/>
          <w:noProof/>
          <w:color w:val="000000"/>
        </w:rPr>
        <w:t>[</w:t>
      </w:r>
      <w:r w:rsidR="00FB24CD">
        <w:rPr>
          <w:noProof/>
          <w:color w:val="000000"/>
        </w:rPr>
        <w:t>2</w:t>
      </w:r>
      <w:r w:rsidR="00FB24CD" w:rsidRPr="00FB24CD">
        <w:rPr>
          <w:rFonts w:ascii="Arial" w:hAnsi="Arial" w:cs="Arial"/>
          <w:noProof/>
          <w:color w:val="000000"/>
        </w:rPr>
        <w:t>,</w:t>
      </w:r>
      <w:r w:rsidR="00FB24CD">
        <w:rPr>
          <w:noProof/>
          <w:color w:val="000000"/>
        </w:rPr>
        <w:t>3</w:t>
      </w:r>
      <w:r w:rsidR="00FB24CD" w:rsidRPr="00FB24CD">
        <w:rPr>
          <w:rFonts w:ascii="Arial" w:hAnsi="Arial" w:cs="Arial"/>
          <w:noProof/>
          <w:color w:val="000000"/>
        </w:rPr>
        <w:t>]</w:t>
      </w:r>
      <w:r w:rsidRPr="001971AC">
        <w:rPr>
          <w:color w:val="000000"/>
        </w:rPr>
        <w:fldChar w:fldCharType="end"/>
      </w:r>
      <w:r w:rsidRPr="001971AC">
        <w:rPr>
          <w:color w:val="000000"/>
          <w:shd w:val="clear" w:color="auto" w:fill="FFFFFF"/>
        </w:rPr>
        <w:t>.</w:t>
      </w:r>
      <w:r>
        <w:rPr>
          <w:color w:val="000000"/>
        </w:rPr>
        <w:t xml:space="preserve"> </w:t>
      </w:r>
      <w:r w:rsidRPr="001971AC">
        <w:rPr>
          <w:rFonts w:cs="Courier New"/>
          <w:lang w:bidi="hi-IN"/>
        </w:rPr>
        <w:t>In patients for whom it was not been possible to obtain a biological sample, an imputed value for their urinary arsenic level was calculated, using the arsenic water level variable described in the main text, in a regression prediction model controlling for age, sex and geographical location.</w:t>
      </w:r>
      <w:r>
        <w:rPr>
          <w:rFonts w:cs="Courier New"/>
          <w:lang w:bidi="hi-IN"/>
        </w:rPr>
        <w:t xml:space="preserve"> </w:t>
      </w:r>
    </w:p>
    <w:p w:rsidR="00FB24CD" w:rsidRPr="00F810D5" w:rsidRDefault="00FB24CD" w:rsidP="005F6CA0">
      <w:pPr>
        <w:autoSpaceDE w:val="0"/>
        <w:autoSpaceDN w:val="0"/>
        <w:adjustRightInd w:val="0"/>
        <w:jc w:val="both"/>
        <w:rPr>
          <w:sz w:val="28"/>
        </w:rPr>
      </w:pPr>
    </w:p>
    <w:p w:rsidR="005F6CA0" w:rsidRPr="00F810D5" w:rsidRDefault="005F6CA0" w:rsidP="005F6CA0">
      <w:pPr>
        <w:autoSpaceDE w:val="0"/>
        <w:autoSpaceDN w:val="0"/>
        <w:adjustRightInd w:val="0"/>
        <w:jc w:val="both"/>
        <w:rPr>
          <w:sz w:val="28"/>
        </w:rPr>
      </w:pPr>
      <w:r w:rsidRPr="00F810D5">
        <w:rPr>
          <w:sz w:val="28"/>
        </w:rPr>
        <w:t>Statistical Analysis</w:t>
      </w:r>
    </w:p>
    <w:p w:rsidR="005F6CA0" w:rsidRDefault="005F6CA0" w:rsidP="0044222B">
      <w:pPr>
        <w:autoSpaceDE w:val="0"/>
        <w:autoSpaceDN w:val="0"/>
        <w:adjustRightInd w:val="0"/>
        <w:jc w:val="both"/>
        <w:rPr>
          <w:rFonts w:cs="Courier New"/>
          <w:lang w:bidi="hi-IN"/>
        </w:rPr>
      </w:pPr>
      <w:r>
        <w:t xml:space="preserve">Dot plots of the log of urinary arsenic level and Mann Whitney U tests were used to describe the relationship between urinary arsenic level, as a continuous variable, and SSG treatment outcome (Figure S1). </w:t>
      </w:r>
      <w:r>
        <w:rPr>
          <w:rFonts w:cs="Courier New"/>
          <w:lang w:bidi="hi-IN"/>
        </w:rPr>
        <w:t xml:space="preserve">Receiver Operating Characteristic (ROC) curves </w:t>
      </w:r>
      <w:proofErr w:type="gramStart"/>
      <w:r>
        <w:rPr>
          <w:rFonts w:cs="Courier New"/>
          <w:lang w:bidi="hi-IN"/>
        </w:rPr>
        <w:t>were</w:t>
      </w:r>
      <w:proofErr w:type="gramEnd"/>
      <w:r>
        <w:rPr>
          <w:rFonts w:cs="Courier New"/>
          <w:lang w:bidi="hi-IN"/>
        </w:rPr>
        <w:t xml:space="preserve"> used to evaluate the cut off for arsenic in urine (40 </w:t>
      </w:r>
      <w:r w:rsidR="00CD0916">
        <w:rPr>
          <w:rFonts w:cs="Courier New"/>
          <w:lang w:bidi="hi-IN"/>
        </w:rPr>
        <w:sym w:font="Symbol" w:char="F06D"/>
      </w:r>
      <w:r>
        <w:rPr>
          <w:rFonts w:cs="Courier New"/>
          <w:lang w:bidi="hi-IN"/>
        </w:rPr>
        <w:t>g/L) against the outcome of SSG treatment. The Kappa index was used to evaluate the agreement between the arsenic levels reported by the two laboratories (SOES and Aberdeen University) that analy</w:t>
      </w:r>
      <w:r w:rsidR="00910DD5">
        <w:rPr>
          <w:rFonts w:cs="Courier New"/>
          <w:lang w:bidi="hi-IN"/>
        </w:rPr>
        <w:t>z</w:t>
      </w:r>
      <w:r>
        <w:rPr>
          <w:rFonts w:cs="Courier New"/>
          <w:lang w:bidi="hi-IN"/>
        </w:rPr>
        <w:t xml:space="preserve">ed the quality control samples. </w:t>
      </w:r>
    </w:p>
    <w:p w:rsidR="0044222B" w:rsidRDefault="0044222B" w:rsidP="0044222B">
      <w:pPr>
        <w:autoSpaceDE w:val="0"/>
        <w:autoSpaceDN w:val="0"/>
        <w:adjustRightInd w:val="0"/>
        <w:jc w:val="both"/>
        <w:rPr>
          <w:rFonts w:cs="Courier New"/>
          <w:lang w:bidi="hi-IN"/>
        </w:rPr>
      </w:pPr>
    </w:p>
    <w:p w:rsidR="005F6CA0" w:rsidRDefault="005F6CA0" w:rsidP="0044222B">
      <w:pPr>
        <w:autoSpaceDE w:val="0"/>
        <w:autoSpaceDN w:val="0"/>
        <w:adjustRightInd w:val="0"/>
        <w:jc w:val="both"/>
        <w:rPr>
          <w:rFonts w:cstheme="minorBidi"/>
        </w:rPr>
      </w:pPr>
      <w:r>
        <w:t>A logistic regression model was employed to assess if elevated urinary arsenic increased the risk of treatment failure in SSG treated patients. The analysis of covariate against outcome using logistic regression is presented in Table 1 in the main text. The final regression model included arsenic exposure, three a priori selected variables (“forced” variables”: age, sex and location) and any variables that were associated with mortality as assessed by the log rank test (p &lt;0.2) and remained significant (p &lt;0.05) in the final model. The results were presented as odds ratios (OR) and their 95% Confidence Intervals (CI).</w:t>
      </w:r>
    </w:p>
    <w:p w:rsidR="0044222B" w:rsidRDefault="0044222B" w:rsidP="0044222B">
      <w:pPr>
        <w:autoSpaceDE w:val="0"/>
        <w:autoSpaceDN w:val="0"/>
        <w:adjustRightInd w:val="0"/>
        <w:jc w:val="both"/>
      </w:pPr>
    </w:p>
    <w:p w:rsidR="005F6CA0" w:rsidRDefault="005F6CA0" w:rsidP="0044222B">
      <w:pPr>
        <w:autoSpaceDE w:val="0"/>
        <w:autoSpaceDN w:val="0"/>
        <w:adjustRightInd w:val="0"/>
        <w:jc w:val="both"/>
      </w:pPr>
      <w:r>
        <w:t>Mortality analysis was not performed using urinary arsenic values as there were no direct measurements of urinary arsenic in deceased patients.</w:t>
      </w:r>
    </w:p>
    <w:p w:rsidR="005F6CA0" w:rsidRDefault="005F6CA0" w:rsidP="005F6CA0">
      <w:pPr>
        <w:jc w:val="both"/>
        <w:rPr>
          <w:rFonts w:cs="Courier New"/>
          <w:lang w:bidi="hi-IN"/>
        </w:rPr>
      </w:pPr>
    </w:p>
    <w:p w:rsidR="005F6CA0" w:rsidRPr="00F810D5" w:rsidRDefault="005F6CA0" w:rsidP="005F6CA0">
      <w:pPr>
        <w:keepNext/>
        <w:jc w:val="both"/>
        <w:rPr>
          <w:rFonts w:cs="Courier New"/>
          <w:b/>
          <w:sz w:val="28"/>
          <w:lang w:bidi="hi-IN"/>
        </w:rPr>
      </w:pPr>
      <w:r w:rsidRPr="00F810D5">
        <w:rPr>
          <w:rFonts w:cs="Courier New"/>
          <w:b/>
          <w:sz w:val="28"/>
          <w:lang w:bidi="hi-IN"/>
        </w:rPr>
        <w:lastRenderedPageBreak/>
        <w:t>Results</w:t>
      </w:r>
    </w:p>
    <w:p w:rsidR="0044222B" w:rsidRDefault="0044222B" w:rsidP="0044222B">
      <w:pPr>
        <w:keepNext/>
        <w:jc w:val="both"/>
      </w:pPr>
    </w:p>
    <w:p w:rsidR="005F6CA0" w:rsidRPr="001971AC" w:rsidRDefault="005F6CA0" w:rsidP="0044222B">
      <w:pPr>
        <w:keepNext/>
        <w:jc w:val="both"/>
        <w:rPr>
          <w:rFonts w:cstheme="minorBidi"/>
          <w:color w:val="000000"/>
        </w:rPr>
      </w:pPr>
      <w:r>
        <w:t xml:space="preserve">Of the 69 patients where biological samples were available, only 66 were in the final cohort of 110 and one sample was unable to be </w:t>
      </w:r>
      <w:proofErr w:type="gramStart"/>
      <w:r>
        <w:t>analy</w:t>
      </w:r>
      <w:r w:rsidR="00910DD5">
        <w:t>z</w:t>
      </w:r>
      <w:r>
        <w:t>ed,</w:t>
      </w:r>
      <w:proofErr w:type="gramEnd"/>
      <w:r>
        <w:t xml:space="preserve"> therefore arsenic exposure in </w:t>
      </w:r>
      <w:r w:rsidRPr="001971AC">
        <w:t xml:space="preserve">urine was only able to be assessed on an individual basis in 65 (59%) study subjects. </w:t>
      </w:r>
      <w:r w:rsidRPr="001971AC">
        <w:rPr>
          <w:color w:val="000000"/>
        </w:rPr>
        <w:t xml:space="preserve"> </w:t>
      </w:r>
    </w:p>
    <w:p w:rsidR="005F6CA0" w:rsidRDefault="005F6CA0" w:rsidP="005F6CA0">
      <w:pPr>
        <w:jc w:val="both"/>
        <w:rPr>
          <w:color w:val="000000"/>
        </w:rPr>
      </w:pPr>
      <w:r w:rsidRPr="001971AC">
        <w:rPr>
          <w:color w:val="000000"/>
        </w:rPr>
        <w:t>The correlation between arsenic in urine and in the water in the study subject’s local environment gives an R-squared value of 0.60 (P &lt; 0.0001). From this relationship 45 urinary values were imputed to allow analysis of the full cohort.</w:t>
      </w:r>
      <w:r>
        <w:rPr>
          <w:color w:val="000000"/>
        </w:rPr>
        <w:t xml:space="preserve"> </w:t>
      </w:r>
      <w:r w:rsidRPr="001971AC">
        <w:rPr>
          <w:rFonts w:cs="Courier New"/>
          <w:lang w:bidi="hi-IN"/>
        </w:rPr>
        <w:t>All the results for urinary arsenic analysis will be presented for 2 datasets: biological samples only (n=65) and with the</w:t>
      </w:r>
      <w:r>
        <w:rPr>
          <w:rFonts w:cs="Courier New"/>
          <w:lang w:bidi="hi-IN"/>
        </w:rPr>
        <w:t xml:space="preserve"> imputed values (n=110).</w:t>
      </w:r>
    </w:p>
    <w:p w:rsidR="0044222B" w:rsidRDefault="0044222B" w:rsidP="0044222B">
      <w:pPr>
        <w:jc w:val="both"/>
        <w:rPr>
          <w:color w:val="000000"/>
        </w:rPr>
      </w:pPr>
    </w:p>
    <w:p w:rsidR="005F6CA0" w:rsidRDefault="005F6CA0" w:rsidP="0044222B">
      <w:pPr>
        <w:jc w:val="both"/>
        <w:rPr>
          <w:rFonts w:cs="Courier New"/>
          <w:lang w:bidi="hi-IN"/>
        </w:rPr>
      </w:pPr>
      <w:r>
        <w:rPr>
          <w:color w:val="000000"/>
        </w:rPr>
        <w:t xml:space="preserve">For the cut off </w:t>
      </w:r>
      <w:r>
        <w:rPr>
          <w:rFonts w:eastAsia="MS Gothic"/>
          <w:color w:val="000000"/>
        </w:rPr>
        <w:t>&gt;4</w:t>
      </w:r>
      <w:r>
        <w:t xml:space="preserve">0 </w:t>
      </w:r>
      <w:r w:rsidR="00CD0916">
        <w:rPr>
          <w:color w:val="000000"/>
        </w:rPr>
        <w:sym w:font="Symbol" w:char="F06D"/>
      </w:r>
      <w:r>
        <w:t>g/L urinary arsenic</w:t>
      </w:r>
      <w:r>
        <w:rPr>
          <w:color w:val="000000"/>
        </w:rPr>
        <w:t xml:space="preserve"> the areas under the ROC curves were </w:t>
      </w:r>
      <w:r>
        <w:rPr>
          <w:rFonts w:cs="Courier New"/>
          <w:lang w:bidi="hi-IN"/>
        </w:rPr>
        <w:t>0.53 and 0.49 for the two datasets respectively</w:t>
      </w:r>
      <w:r>
        <w:rPr>
          <w:color w:val="000000"/>
        </w:rPr>
        <w:t xml:space="preserve">. The sum of sensitivity and specificity was </w:t>
      </w:r>
      <w:r>
        <w:rPr>
          <w:rFonts w:ascii="MS Gothic" w:eastAsia="MS Gothic"/>
          <w:color w:val="000000"/>
        </w:rPr>
        <w:t>≥</w:t>
      </w:r>
      <w:r>
        <w:rPr>
          <w:color w:val="000000"/>
        </w:rPr>
        <w:t>100 % for both datasets.</w:t>
      </w:r>
      <w:r>
        <w:rPr>
          <w:rFonts w:cs="Courier New"/>
          <w:lang w:bidi="hi-IN"/>
        </w:rPr>
        <w:t xml:space="preserve"> </w:t>
      </w:r>
      <w:r>
        <w:rPr>
          <w:color w:val="000000"/>
        </w:rPr>
        <w:t>The quality control assays showed a moderate agreement (Kappa=72%, p=0.012) between the analysis performed at SOES and the University of Aberdeen laboratories.</w:t>
      </w:r>
    </w:p>
    <w:p w:rsidR="0044222B" w:rsidRDefault="0044222B" w:rsidP="0044222B">
      <w:pPr>
        <w:jc w:val="both"/>
      </w:pPr>
    </w:p>
    <w:p w:rsidR="005F6CA0" w:rsidRDefault="005F6CA0" w:rsidP="0044222B">
      <w:pPr>
        <w:jc w:val="both"/>
      </w:pPr>
      <w:r>
        <w:t>The median arsenic exposure values were similar in patients who failed and had a successful treatment with SSG (Figure S1, A and B). The covariate of previous SSG treatment in the family with a weak association with treatment failure (p=0.103) was initially included in a multivariate model.  The final logistic regression model only included the forced variables age, sex and location. When analy</w:t>
      </w:r>
      <w:r w:rsidR="00910DD5">
        <w:t>z</w:t>
      </w:r>
      <w:r>
        <w:t xml:space="preserve">ing the biological samples only a trend was observed: patients with elevated urinary arsenic have a higher risk of treatment failure (OR 2.06) than those with an arsenic level within the normal range, however this association is not statistically significant (95% CI: </w:t>
      </w:r>
      <w:r w:rsidRPr="00FB694E">
        <w:t>0.57-7.47</w:t>
      </w:r>
      <w:r>
        <w:t xml:space="preserve">, p=0.269). When using the data set that includes imputed values, the risk of treatment failure with elevated urinary arsenic was markedly attenuated (OR 1.29) and the association became less significant (95% CI: </w:t>
      </w:r>
      <w:r w:rsidRPr="00FB694E">
        <w:t>0.53-3.19</w:t>
      </w:r>
      <w:r>
        <w:t>, p=0.575) (Table S1).</w:t>
      </w:r>
    </w:p>
    <w:p w:rsidR="0044222B" w:rsidRDefault="0044222B" w:rsidP="0044222B">
      <w:pPr>
        <w:jc w:val="both"/>
      </w:pPr>
    </w:p>
    <w:p w:rsidR="005F6CA0" w:rsidRDefault="005F6CA0" w:rsidP="0044222B">
      <w:pPr>
        <w:jc w:val="both"/>
      </w:pPr>
      <w:r>
        <w:t xml:space="preserve">In the multivariate analysis using biological samples only, being of an older age carried a significant risk when adjusted for urine arsenic exposure level, location and sex.  This </w:t>
      </w:r>
      <w:r>
        <w:lastRenderedPageBreak/>
        <w:t>risk disappears when the imputed data is also used in the analysis: all the patients who were not available for biological sample collection due to relocation were older than 5 years old at their time of treatment and 66.7% of this group had a successful 1</w:t>
      </w:r>
      <w:r>
        <w:rPr>
          <w:vertAlign w:val="superscript"/>
        </w:rPr>
        <w:t>st</w:t>
      </w:r>
      <w:r>
        <w:t xml:space="preserve"> treatment with SSG (compared with a 43.6% success rate in the full cohort).</w:t>
      </w:r>
    </w:p>
    <w:p w:rsidR="005F6CA0" w:rsidRDefault="005F6CA0" w:rsidP="005F6CA0">
      <w:pPr>
        <w:jc w:val="both"/>
        <w:rPr>
          <w:rFonts w:cs="Courier New"/>
          <w:lang w:bidi="hi-IN"/>
        </w:rPr>
      </w:pPr>
    </w:p>
    <w:p w:rsidR="005F6CA0" w:rsidRPr="00F810D5" w:rsidRDefault="005F6CA0" w:rsidP="005F6CA0">
      <w:pPr>
        <w:jc w:val="both"/>
        <w:rPr>
          <w:b/>
          <w:sz w:val="28"/>
        </w:rPr>
      </w:pPr>
      <w:r w:rsidRPr="00F810D5">
        <w:rPr>
          <w:b/>
          <w:sz w:val="28"/>
        </w:rPr>
        <w:t>Discussion</w:t>
      </w:r>
    </w:p>
    <w:p w:rsidR="0044222B" w:rsidRDefault="0044222B" w:rsidP="0044222B">
      <w:pPr>
        <w:jc w:val="both"/>
      </w:pPr>
    </w:p>
    <w:p w:rsidR="005F6CA0" w:rsidRDefault="005F6CA0" w:rsidP="0044222B">
      <w:pPr>
        <w:jc w:val="both"/>
      </w:pPr>
      <w:r>
        <w:t xml:space="preserve">Multivariate analysis shows a non-significant trend of increased risk of treatment failure with elevated arsenic levels. Measurement of arsenic levels in urine is an excellent biomarker of arsenic exposure </w:t>
      </w:r>
      <w:r>
        <w:fldChar w:fldCharType="begin"/>
      </w:r>
      <w:r w:rsidR="00FB24CD">
        <w:instrText xml:space="preserve"> ADDIN REFMGR.CITE &lt;Refman&gt;&lt;Cite&gt;&lt;Author&gt;Concha&lt;/Author&gt;&lt;Year&gt;2006&lt;/Year&gt;&lt;RecNum&gt;20743&lt;/RecNum&gt;&lt;IDText&gt;Spatial and temporal variations in arsenic exposure via drinking-water in Northern Argentina&lt;/IDText&gt;&lt;MDL Ref_Type="Journal"&gt;&lt;Ref_Type&gt;Journal&lt;/Ref_Type&gt;&lt;Ref_ID&gt;20743&lt;/Ref_ID&gt;&lt;Title_Primary&gt;Spatial and temporal variations in arsenic exposure via drinking-water in Northern Argentina&lt;/Title_Primary&gt;&lt;Authors_Primary&gt;Concha,G.&lt;/Authors_Primary&gt;&lt;Authors_Primary&gt;Nermell,B.&lt;/Authors_Primary&gt;&lt;Authors_Primary&gt;Vahter,M.&lt;/Authors_Primary&gt;&lt;Date_Primary&gt;2006&lt;/Date_Primary&gt;&lt;Keywords&gt;ARGENTINA&lt;/Keywords&gt;&lt;Keywords&gt;ARSENIC&lt;/Keywords&gt;&lt;Keywords&gt;concentration&lt;/Keywords&gt;&lt;Keywords&gt;Contamination&lt;/Keywords&gt;&lt;Keywords&gt;DRINKING WATER&lt;/Keywords&gt;&lt;Keywords&gt;DRINKING-WATER&lt;/Keywords&gt;&lt;Keywords&gt;EXPOSURE&lt;/Keywords&gt;&lt;Keywords&gt;hair&lt;/Keywords&gt;&lt;Keywords&gt;INDIVIDUALS&lt;/Keywords&gt;&lt;Keywords&gt;LEVEL&lt;/Keywords&gt;&lt;Keywords&gt;LOCATION&lt;/Keywords&gt;&lt;Keywords&gt;marker&lt;/Keywords&gt;&lt;Keywords&gt;measurement&lt;/Keywords&gt;&lt;Keywords&gt;MU&lt;/Keywords&gt;&lt;Keywords&gt;NO&lt;/Keywords&gt;&lt;Keywords&gt;RANGE&lt;/Keywords&gt;&lt;Keywords&gt;study&lt;/Keywords&gt;&lt;Keywords&gt;TEMPORAL VARIATION&lt;/Keywords&gt;&lt;Keywords&gt;THII&lt;/Keywords&gt;&lt;Keywords&gt;URINARY&lt;/Keywords&gt;&lt;Keywords&gt;URINE&lt;/Keywords&gt;&lt;Keywords&gt;WATER&lt;/Keywords&gt;&lt;Reprint&gt;Not in File&lt;/Reprint&gt;&lt;Start_Page&gt;317&lt;/Start_Page&gt;&lt;End_Page&gt;326&lt;/End_Page&gt;&lt;Periodical&gt;Journal of Health Population and Nutrition&lt;/Periodical&gt;&lt;Volume&gt;24&lt;/Volume&gt;&lt;Issue&gt;3&lt;/Issue&gt;&lt;ZZ_JournalFull&gt;&lt;f name="System"&gt;Journal of Health Population and Nutrition&lt;/f&gt;&lt;/ZZ_JournalFull&gt;&lt;ZZ_WorkformID&gt;1&lt;/ZZ_WorkformID&gt;&lt;/MDL&gt;&lt;/Cite&gt;&lt;/Refman&gt;</w:instrText>
      </w:r>
      <w:r>
        <w:fldChar w:fldCharType="separate"/>
      </w:r>
      <w:r w:rsidR="00FB24CD" w:rsidRPr="00FB24CD">
        <w:rPr>
          <w:rFonts w:ascii="Arial" w:hAnsi="Arial" w:cs="Arial"/>
          <w:noProof/>
        </w:rPr>
        <w:t>[</w:t>
      </w:r>
      <w:r w:rsidR="00FB24CD">
        <w:rPr>
          <w:noProof/>
        </w:rPr>
        <w:t>4</w:t>
      </w:r>
      <w:r w:rsidR="00FB24CD" w:rsidRPr="00FB24CD">
        <w:rPr>
          <w:rFonts w:ascii="Arial" w:hAnsi="Arial" w:cs="Arial"/>
          <w:noProof/>
        </w:rPr>
        <w:t>]</w:t>
      </w:r>
      <w:r>
        <w:fldChar w:fldCharType="end"/>
      </w:r>
      <w:r>
        <w:t xml:space="preserve"> and allows for a direct individual assessment which includes any exposure from foods and other sources.  However in the context of this study it has many disadvantages.  Urine represents arsenic exposure in the preceding 24 h </w:t>
      </w:r>
      <w:r>
        <w:fldChar w:fldCharType="begin"/>
      </w:r>
      <w:r w:rsidR="00FB24CD">
        <w:instrText xml:space="preserve"> ADDIN REFMGR.CITE &lt;Refman&gt;&lt;Cite&gt;&lt;Author&gt;Vahter&lt;/Author&gt;&lt;Year&gt;1994&lt;/Year&gt;&lt;RecNum&gt;19727&lt;/RecNum&gt;&lt;IDText&gt;What are the chemical forms of arsenic in urine, and what can they tell us about exposure?&lt;/IDText&gt;&lt;MDL Ref_Type="Journal"&gt;&lt;Ref_Type&gt;Journal&lt;/Ref_Type&gt;&lt;Ref_ID&gt;19727&lt;/Ref_ID&gt;&lt;Title_Primary&gt;What are the chemical forms of arsenic in urine, and what can they tell us about exposure?&lt;/Title_Primary&gt;&lt;Authors_Primary&gt;Vahter,M.&lt;/Authors_Primary&gt;&lt;Date_Primary&gt;1994/5&lt;/Date_Primary&gt;&lt;Keywords&gt;ARSENIC&lt;/Keywords&gt;&lt;Keywords&gt;CHEMISTRY&lt;/Keywords&gt;&lt;Keywords&gt;environmental exposure&lt;/Keywords&gt;&lt;Keywords&gt;EXPOSURE&lt;/Keywords&gt;&lt;Keywords&gt;FORM&lt;/Keywords&gt;&lt;Keywords&gt;FORMS&lt;/Keywords&gt;&lt;Keywords&gt;HUMANS&lt;/Keywords&gt;&lt;Keywords&gt;URINE&lt;/Keywords&gt;&lt;Reprint&gt;Not in File&lt;/Reprint&gt;&lt;Start_Page&gt;679&lt;/Start_Page&gt;&lt;End_Page&gt;680&lt;/End_Page&gt;&lt;Periodical&gt;Clin.Chem.&lt;/Periodical&gt;&lt;Volume&gt;40&lt;/Volume&gt;&lt;Issue&gt;5&lt;/Issue&gt;&lt;Web_URL&gt;PM:8174236&lt;/Web_URL&gt;&lt;ZZ_JournalFull&gt;&lt;f name="System"&gt;Clinical Chemistry&lt;/f&gt;&lt;/ZZ_JournalFull&gt;&lt;ZZ_JournalStdAbbrev&gt;&lt;f name="System"&gt;Clin.Chem.&lt;/f&gt;&lt;/ZZ_JournalStdAbbrev&gt;&lt;ZZ_WorkformID&gt;1&lt;/ZZ_WorkformID&gt;&lt;/MDL&gt;&lt;/Cite&gt;&lt;/Refman&gt;</w:instrText>
      </w:r>
      <w:r>
        <w:fldChar w:fldCharType="separate"/>
      </w:r>
      <w:r w:rsidR="00FB24CD" w:rsidRPr="00FB24CD">
        <w:rPr>
          <w:rFonts w:ascii="Arial" w:hAnsi="Arial" w:cs="Arial"/>
          <w:noProof/>
        </w:rPr>
        <w:t>[</w:t>
      </w:r>
      <w:r w:rsidR="00FB24CD">
        <w:rPr>
          <w:noProof/>
        </w:rPr>
        <w:t>5</w:t>
      </w:r>
      <w:r w:rsidR="00FB24CD" w:rsidRPr="00FB24CD">
        <w:rPr>
          <w:rFonts w:ascii="Arial" w:hAnsi="Arial" w:cs="Arial"/>
          <w:noProof/>
        </w:rPr>
        <w:t>]</w:t>
      </w:r>
      <w:r>
        <w:fldChar w:fldCharType="end"/>
      </w:r>
      <w:r>
        <w:t xml:space="preserve"> where we are interested in representing arsenic exposure at the time of the patient’s VL episode up to 6 years prior to the study. This, coupled with the need to impute 41% (n=45) values</w:t>
      </w:r>
      <w:r w:rsidRPr="00C127C8">
        <w:t xml:space="preserve"> </w:t>
      </w:r>
      <w:r>
        <w:t>to be able to analy</w:t>
      </w:r>
      <w:r w:rsidR="00910DD5">
        <w:t>z</w:t>
      </w:r>
      <w:r>
        <w:t>e the full the cohort, due to the unavailability of these VL patients, decreases the value of urine as an exposure variable.</w:t>
      </w:r>
    </w:p>
    <w:p w:rsidR="0044222B" w:rsidRDefault="0044222B" w:rsidP="0044222B">
      <w:pPr>
        <w:jc w:val="both"/>
      </w:pPr>
    </w:p>
    <w:p w:rsidR="005F6CA0" w:rsidRDefault="005F6CA0" w:rsidP="0044222B">
      <w:pPr>
        <w:jc w:val="both"/>
      </w:pPr>
      <w:r w:rsidRPr="00475833">
        <w:t xml:space="preserve">Additionally there is controversy on how to present urine measurements. The ideal way to measure arsenic in urine is through a 24 h collection but this is often impractical in field study settings. Some studies use </w:t>
      </w:r>
      <w:r w:rsidR="00CD0916">
        <w:sym w:font="Symbol" w:char="F06D"/>
      </w:r>
      <w:r w:rsidRPr="00475833">
        <w:t>g/g of creatinine to address this but arsenic exposure has been shown to increase creatinine cleara</w:t>
      </w:r>
      <w:r>
        <w:t xml:space="preserve">nce which would distort results </w:t>
      </w:r>
      <w:r>
        <w:fldChar w:fldCharType="begin"/>
      </w:r>
      <w:r w:rsidR="00FB24CD">
        <w:instrText xml:space="preserve"> ADDIN REFMGR.CITE &lt;Refman&gt;&lt;Cite&gt;&lt;Author&gt;Gamble&lt;/Author&gt;&lt;Year&gt;2005&lt;/Year&gt;&lt;RecNum&gt;20745&lt;/RecNum&gt;&lt;IDText&gt;Urinary creatinine and arsenic metabolism&lt;/IDText&gt;&lt;MDL Ref_Type="Journal"&gt;&lt;Ref_Type&gt;Journal&lt;/Ref_Type&gt;&lt;Ref_ID&gt;20745&lt;/Ref_ID&gt;&lt;Title_Primary&gt;Urinary creatinine and arsenic metabolism&lt;/Title_Primary&gt;&lt;Authors_Primary&gt;Gamble,M.V.&lt;/Authors_Primary&gt;&lt;Authors_Primary&gt;Liu,X.&lt;/Authors_Primary&gt;&lt;Date_Primary&gt;2005/7&lt;/Date_Primary&gt;&lt;Keywords&gt;ARSENIC&lt;/Keywords&gt;&lt;Keywords&gt;Biological Markers&lt;/Keywords&gt;&lt;Keywords&gt;BLOOD&lt;/Keywords&gt;&lt;Keywords&gt;creatinine&lt;/Keywords&gt;&lt;Keywords&gt;Environmental Monitoring&lt;/Keywords&gt;&lt;Keywords&gt;Female&lt;/Keywords&gt;&lt;Keywords&gt;FOLIC ACID&lt;/Keywords&gt;&lt;Keywords&gt;HUMANS&lt;/Keywords&gt;&lt;Keywords&gt;Male&lt;/Keywords&gt;&lt;Keywords&gt;metabolism&lt;/Keywords&gt;&lt;Keywords&gt;METHODS&lt;/Keywords&gt;&lt;Keywords&gt;Regression Analysis&lt;/Keywords&gt;&lt;Keywords&gt;URINARY&lt;/Keywords&gt;&lt;Keywords&gt;URINE&lt;/Keywords&gt;&lt;Reprint&gt;In File&lt;/Reprint&gt;&lt;Start_Page&gt;A442&lt;/Start_Page&gt;&lt;End_Page&gt;A443&lt;/End_Page&gt;&lt;Periodical&gt;Environ.Health Perspect.&lt;/Periodical&gt;&lt;Volume&gt;113&lt;/Volume&gt;&lt;Issue&gt;7&lt;/Issue&gt;&lt;Web_URL&gt;PM:16002357&lt;/Web_URL&gt;&lt;ZZ_JournalFull&gt;&lt;f name="System"&gt;Environmental Health Perspectives&lt;/f&gt;&lt;/ZZ_JournalFull&gt;&lt;ZZ_JournalStdAbbrev&gt;&lt;f name="System"&gt;Environ.Health Perspect.&lt;/f&gt;&lt;/ZZ_JournalStdAbbrev&gt;&lt;ZZ_WorkformID&gt;1&lt;/ZZ_WorkformID&gt;&lt;/MDL&gt;&lt;/Cite&gt;&lt;/Refman&gt;</w:instrText>
      </w:r>
      <w:r>
        <w:fldChar w:fldCharType="separate"/>
      </w:r>
      <w:r w:rsidR="00FB24CD" w:rsidRPr="00FB24CD">
        <w:rPr>
          <w:rFonts w:ascii="Arial" w:hAnsi="Arial" w:cs="Arial"/>
          <w:noProof/>
        </w:rPr>
        <w:t>[</w:t>
      </w:r>
      <w:r w:rsidR="00FB24CD">
        <w:rPr>
          <w:noProof/>
        </w:rPr>
        <w:t>6</w:t>
      </w:r>
      <w:r w:rsidR="00FB24CD" w:rsidRPr="00FB24CD">
        <w:rPr>
          <w:rFonts w:ascii="Arial" w:hAnsi="Arial" w:cs="Arial"/>
          <w:noProof/>
        </w:rPr>
        <w:t>]</w:t>
      </w:r>
      <w:r>
        <w:fldChar w:fldCharType="end"/>
      </w:r>
      <w:r>
        <w:t>.</w:t>
      </w:r>
      <w:r w:rsidRPr="00475833">
        <w:t xml:space="preserve"> </w:t>
      </w:r>
    </w:p>
    <w:p w:rsidR="0044222B" w:rsidRDefault="0044222B" w:rsidP="0044222B">
      <w:pPr>
        <w:jc w:val="both"/>
      </w:pPr>
    </w:p>
    <w:p w:rsidR="005F6CA0" w:rsidRDefault="005F6CA0" w:rsidP="0044222B">
      <w:pPr>
        <w:jc w:val="both"/>
        <w:rPr>
          <w:color w:val="000000"/>
        </w:rPr>
      </w:pPr>
      <w:r w:rsidRPr="00475833">
        <w:t xml:space="preserve">There is no definitive cut off for elevated arsenic in urine.  </w:t>
      </w:r>
      <w:r>
        <w:t xml:space="preserve">In 2001, D.N.G. </w:t>
      </w:r>
      <w:proofErr w:type="spellStart"/>
      <w:r>
        <w:t>Mazumder</w:t>
      </w:r>
      <w:proofErr w:type="spellEnd"/>
      <w:r>
        <w:t xml:space="preserve"> recommended a level of </w:t>
      </w:r>
      <w:r w:rsidRPr="00475833">
        <w:t xml:space="preserve">&gt; 50 </w:t>
      </w:r>
      <w:r w:rsidR="00CD0916">
        <w:rPr>
          <w:color w:val="000000"/>
        </w:rPr>
        <w:sym w:font="Symbol" w:char="F06D"/>
      </w:r>
      <w:r w:rsidRPr="00475833">
        <w:rPr>
          <w:color w:val="000000"/>
        </w:rPr>
        <w:t>g/L</w:t>
      </w:r>
      <w:r>
        <w:rPr>
          <w:color w:val="000000"/>
        </w:rPr>
        <w:t xml:space="preserve"> urinary arsenic </w:t>
      </w:r>
      <w:r w:rsidR="00FB24CD">
        <w:rPr>
          <w:color w:val="000000"/>
        </w:rPr>
        <w:fldChar w:fldCharType="begin"/>
      </w:r>
      <w:r w:rsidR="00FB24CD">
        <w:rPr>
          <w:color w:val="000000"/>
        </w:rPr>
        <w:instrText xml:space="preserve"> ADDIN REFMGR.CITE &lt;Refman&gt;&lt;Cite&gt;&lt;Author&gt;Mazumder&lt;/Author&gt;&lt;Year&gt;2001&lt;/Year&gt;&lt;RecNum&gt;20895&lt;/RecNum&gt;&lt;IDText&gt;Clinical aspects of chronic arsenic toxicity&lt;/IDText&gt;&lt;MDL Ref_Type="Journal"&gt;&lt;Ref_Type&gt;Journal&lt;/Ref_Type&gt;&lt;Ref_ID&gt;20895&lt;/Ref_ID&gt;&lt;Title_Primary&gt;Clinical aspects of chronic arsenic toxicity&lt;/Title_Primary&gt;&lt;Authors_Primary&gt;Mazumder,D.N.&lt;/Authors_Primary&gt;&lt;Date_Primary&gt;2001/6&lt;/Date_Primary&gt;&lt;Keywords&gt;adverse effects&lt;/Keywords&gt;&lt;Keywords&gt;ARSENIC&lt;/Keywords&gt;&lt;Keywords&gt;arsenic poisoning&lt;/Keywords&gt;&lt;Keywords&gt;Arsenic toxicity&lt;/Keywords&gt;&lt;Keywords&gt;Chelation Therapy&lt;/Keywords&gt;&lt;Keywords&gt;chemically induced&lt;/Keywords&gt;&lt;Keywords&gt;chronic&lt;/Keywords&gt;&lt;Keywords&gt;CLINICAL&lt;/Keywords&gt;&lt;Keywords&gt;clinical aspects&lt;/Keywords&gt;&lt;Keywords&gt;complications&lt;/Keywords&gt;&lt;Keywords&gt;DIAGNOSIS&lt;/Keywords&gt;&lt;Keywords&gt;environmental exposure&lt;/Keywords&gt;&lt;Keywords&gt;FORCE&lt;/Keywords&gt;&lt;Keywords&gt;HUMANS&lt;/Keywords&gt;&lt;Keywords&gt;MRP PhD&lt;/Keywords&gt;&lt;Keywords&gt;physiopathology&lt;/Keywords&gt;&lt;Keywords&gt;poisoning&lt;/Keywords&gt;&lt;Keywords&gt;Pollution&lt;/Keywords&gt;&lt;Keywords&gt;Skin Diseases&lt;/Keywords&gt;&lt;Keywords&gt;TOXICITY&lt;/Keywords&gt;&lt;Keywords&gt;WATER&lt;/Keywords&gt;&lt;Keywords&gt;Water Pollutants,Chemical&lt;/Keywords&gt;&lt;Keywords&gt;WEST&lt;/Keywords&gt;&lt;Keywords&gt;WEST-BENGAL&lt;/Keywords&gt;&lt;Reprint&gt;In File&lt;/Reprint&gt;&lt;Start_Page&gt;650&lt;/Start_Page&gt;&lt;End_Page&gt;655&lt;/End_Page&gt;&lt;Periodical&gt;J.Assoc.Physicians India&lt;/Periodical&gt;&lt;Volume&gt;49&lt;/Volume&gt;&lt;Address&gt;Task Force on Arsenic Pollution in Ground Water in West Bengal, Government of West Bengal&lt;/Address&gt;&lt;Web_URL&gt;PM:11584943&lt;/Web_URL&gt;&lt;ZZ_JournalStdAbbrev&gt;&lt;f name="System"&gt;J.Assoc.Physicians India&lt;/f&gt;&lt;/ZZ_JournalStdAbbrev&gt;&lt;ZZ_WorkformID&gt;1&lt;/ZZ_WorkformID&gt;&lt;/MDL&gt;&lt;/Cite&gt;&lt;/Refman&gt;</w:instrText>
      </w:r>
      <w:r w:rsidR="00FB24CD">
        <w:rPr>
          <w:color w:val="000000"/>
        </w:rPr>
        <w:fldChar w:fldCharType="separate"/>
      </w:r>
      <w:r w:rsidR="00FB24CD" w:rsidRPr="00FB24CD">
        <w:rPr>
          <w:rFonts w:ascii="Arial" w:hAnsi="Arial" w:cs="Arial"/>
          <w:noProof/>
          <w:color w:val="000000"/>
        </w:rPr>
        <w:t>[</w:t>
      </w:r>
      <w:r w:rsidR="00FB24CD">
        <w:rPr>
          <w:noProof/>
          <w:color w:val="000000"/>
        </w:rPr>
        <w:t>7</w:t>
      </w:r>
      <w:r w:rsidR="00FB24CD" w:rsidRPr="00FB24CD">
        <w:rPr>
          <w:rFonts w:ascii="Arial" w:hAnsi="Arial" w:cs="Arial"/>
          <w:noProof/>
          <w:color w:val="000000"/>
        </w:rPr>
        <w:t>]</w:t>
      </w:r>
      <w:r w:rsidR="00FB24CD">
        <w:rPr>
          <w:color w:val="000000"/>
        </w:rPr>
        <w:fldChar w:fldCharType="end"/>
      </w:r>
      <w:r>
        <w:rPr>
          <w:color w:val="000000"/>
        </w:rPr>
        <w:t>,</w:t>
      </w:r>
      <w:r w:rsidRPr="00475833">
        <w:rPr>
          <w:color w:val="000000"/>
        </w:rPr>
        <w:t xml:space="preserve"> but this was to diagnose ‘</w:t>
      </w:r>
      <w:proofErr w:type="spellStart"/>
      <w:r w:rsidRPr="00475833">
        <w:rPr>
          <w:color w:val="000000"/>
        </w:rPr>
        <w:t>arsenicosis</w:t>
      </w:r>
      <w:proofErr w:type="spellEnd"/>
      <w:r w:rsidRPr="00475833">
        <w:rPr>
          <w:color w:val="000000"/>
        </w:rPr>
        <w:t xml:space="preserve">’ and is coupled with drinking water at &gt;50 </w:t>
      </w:r>
      <w:r w:rsidR="00CD0916">
        <w:rPr>
          <w:color w:val="000000"/>
        </w:rPr>
        <w:sym w:font="Symbol" w:char="F06D"/>
      </w:r>
      <w:r w:rsidRPr="00475833">
        <w:rPr>
          <w:color w:val="000000"/>
        </w:rPr>
        <w:t>g/L, levels under which are relevant in this study (see main text).  In view of this, a cut off of urinary arsenic levels above the nor</w:t>
      </w:r>
      <w:r>
        <w:rPr>
          <w:color w:val="000000"/>
        </w:rPr>
        <w:t xml:space="preserve">mal range of 5- 40 </w:t>
      </w:r>
      <w:r w:rsidR="00CD0916">
        <w:rPr>
          <w:color w:val="000000"/>
        </w:rPr>
        <w:sym w:font="Symbol" w:char="F06D"/>
      </w:r>
      <w:r>
        <w:rPr>
          <w:color w:val="000000"/>
        </w:rPr>
        <w:t xml:space="preserve">g/L </w:t>
      </w:r>
      <w:r>
        <w:rPr>
          <w:color w:val="000000"/>
        </w:rPr>
        <w:fldChar w:fldCharType="begin">
          <w:fldData xml:space="preserve">PFJlZm1hbj48Q2l0ZT48QXV0aG9yPlJhdmVuc2Nyb2Z0PC9BdXRob3I+PFllYXI+MjAwOTwvWWVh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</w:fldData>
        </w:fldChar>
      </w:r>
      <w:r w:rsidR="00FB24CD">
        <w:rPr>
          <w:color w:val="000000"/>
        </w:rPr>
        <w:instrText xml:space="preserve"> ADDIN REFMGR.CITE </w:instrText>
      </w:r>
      <w:r w:rsidR="00FB24CD">
        <w:rPr>
          <w:color w:val="000000"/>
        </w:rPr>
        <w:fldChar w:fldCharType="begin">
          <w:fldData xml:space="preserve">PFJlZm1hbj48Q2l0ZT48QXV0aG9yPlJhdmVuc2Nyb2Z0PC9BdXRob3I+PFllYXI+MjAwOTwvWWVh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</w:fldData>
        </w:fldChar>
      </w:r>
      <w:r w:rsidR="00FB24CD">
        <w:rPr>
          <w:color w:val="000000"/>
        </w:rPr>
        <w:instrText xml:space="preserve"> ADDIN EN.CITE.DATA </w:instrText>
      </w:r>
      <w:r w:rsidR="00FB24CD">
        <w:rPr>
          <w:color w:val="000000"/>
        </w:rPr>
      </w:r>
      <w:r w:rsidR="00FB24CD">
        <w:rPr>
          <w:color w:val="000000"/>
        </w:rPr>
        <w:fldChar w:fldCharType="end"/>
      </w:r>
      <w:r>
        <w:rPr>
          <w:color w:val="000000"/>
        </w:rPr>
      </w:r>
      <w:r>
        <w:rPr>
          <w:color w:val="000000"/>
        </w:rPr>
        <w:fldChar w:fldCharType="separate"/>
      </w:r>
      <w:r w:rsidR="00FB24CD" w:rsidRPr="00FB24CD">
        <w:rPr>
          <w:rFonts w:ascii="Arial" w:hAnsi="Arial" w:cs="Arial"/>
          <w:noProof/>
          <w:color w:val="000000"/>
        </w:rPr>
        <w:t>[</w:t>
      </w:r>
      <w:r w:rsidR="00FB24CD">
        <w:rPr>
          <w:noProof/>
          <w:color w:val="000000"/>
        </w:rPr>
        <w:t>2</w:t>
      </w:r>
      <w:r w:rsidR="00FB24CD" w:rsidRPr="00FB24CD">
        <w:rPr>
          <w:rFonts w:ascii="Arial" w:hAnsi="Arial" w:cs="Arial"/>
          <w:noProof/>
          <w:color w:val="000000"/>
        </w:rPr>
        <w:t>,</w:t>
      </w:r>
      <w:r w:rsidR="00FB24CD">
        <w:rPr>
          <w:noProof/>
          <w:color w:val="000000"/>
        </w:rPr>
        <w:t>3</w:t>
      </w:r>
      <w:r w:rsidR="00FB24CD" w:rsidRPr="00FB24CD">
        <w:rPr>
          <w:rFonts w:ascii="Arial" w:hAnsi="Arial" w:cs="Arial"/>
          <w:noProof/>
          <w:color w:val="000000"/>
        </w:rPr>
        <w:t>]</w:t>
      </w:r>
      <w:r>
        <w:rPr>
          <w:color w:val="000000"/>
        </w:rPr>
        <w:fldChar w:fldCharType="end"/>
      </w:r>
      <w:r w:rsidRPr="00475833">
        <w:rPr>
          <w:color w:val="000000"/>
        </w:rPr>
        <w:t xml:space="preserve"> was utilized in this study.</w:t>
      </w:r>
    </w:p>
    <w:p w:rsidR="005F6CA0" w:rsidRDefault="005F6CA0" w:rsidP="005F6CA0">
      <w:pPr>
        <w:jc w:val="both"/>
        <w:rPr>
          <w:color w:val="000000"/>
        </w:rPr>
      </w:pPr>
    </w:p>
    <w:p w:rsidR="005F6CA0" w:rsidRPr="00475833" w:rsidRDefault="005F6CA0" w:rsidP="005F6CA0">
      <w:pPr>
        <w:jc w:val="both"/>
        <w:rPr>
          <w:rFonts w:cstheme="minorBidi"/>
        </w:rPr>
      </w:pPr>
    </w:p>
    <w:p w:rsidR="005F6CA0" w:rsidRPr="00475833" w:rsidRDefault="005F6CA0" w:rsidP="005F6CA0">
      <w:pPr>
        <w:jc w:val="both"/>
        <w:rPr>
          <w:rFonts w:cs="Courier New"/>
          <w:lang w:bidi="hi-IN"/>
        </w:rPr>
      </w:pPr>
    </w:p>
    <w:p w:rsidR="0044222B" w:rsidRDefault="0044222B">
      <w:pPr>
        <w:spacing w:after="200" w:line="276" w:lineRule="auto"/>
        <w:rPr>
          <w:rFonts w:cs="Courier New"/>
          <w:b/>
          <w:lang w:bidi="hi-IN"/>
        </w:rPr>
      </w:pPr>
      <w:r>
        <w:rPr>
          <w:rFonts w:cs="Courier New"/>
          <w:b/>
          <w:lang w:bidi="hi-IN"/>
        </w:rPr>
        <w:br w:type="page"/>
      </w:r>
    </w:p>
    <w:p w:rsidR="005F6CA0" w:rsidRDefault="005F6CA0" w:rsidP="005F6CA0">
      <w:pPr>
        <w:rPr>
          <w:b/>
        </w:rPr>
        <w:sectPr w:rsidR="005F6CA0" w:rsidSect="005F6CA0">
          <w:pgSz w:w="12240" w:h="15840"/>
          <w:pgMar w:top="1440" w:right="1797" w:bottom="1440" w:left="1797" w:header="709" w:footer="709" w:gutter="0"/>
          <w:cols w:space="708"/>
          <w:docGrid w:linePitch="360"/>
        </w:sectPr>
      </w:pPr>
    </w:p>
    <w:p w:rsidR="005F6CA0" w:rsidRDefault="005F6CA0" w:rsidP="005F6CA0">
      <w:r w:rsidRPr="00A31E53">
        <w:rPr>
          <w:b/>
        </w:rPr>
        <w:lastRenderedPageBreak/>
        <w:t>Table S1</w:t>
      </w:r>
      <w:r>
        <w:t xml:space="preserve">: </w:t>
      </w:r>
      <w:r w:rsidRPr="00F810D5">
        <w:rPr>
          <w:b/>
        </w:rPr>
        <w:t>Multivariate logistic regression analysis using urinary arsenic data</w:t>
      </w:r>
    </w:p>
    <w:tbl>
      <w:tblPr>
        <w:tblW w:w="89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842"/>
        <w:gridCol w:w="991"/>
        <w:gridCol w:w="1842"/>
        <w:gridCol w:w="1133"/>
      </w:tblGrid>
      <w:tr w:rsidR="005F6CA0" w:rsidRPr="00735D2C" w:rsidTr="00177D57">
        <w:trPr>
          <w:trHeight w:val="300"/>
        </w:trPr>
        <w:tc>
          <w:tcPr>
            <w:tcW w:w="3119" w:type="dxa"/>
            <w:tcBorders>
              <w:top w:val="single" w:sz="4" w:space="0" w:color="auto"/>
              <w:left w:val="nil"/>
              <w:bottom w:val="nil"/>
              <w:right w:val="nil"/>
            </w:tcBorders>
            <w:noWrap/>
            <w:vAlign w:val="bottom"/>
            <w:hideMark/>
          </w:tcPr>
          <w:p w:rsidR="005F6CA0" w:rsidRPr="005F6CA0" w:rsidRDefault="005F6CA0" w:rsidP="00177D57"/>
        </w:tc>
        <w:tc>
          <w:tcPr>
            <w:tcW w:w="2835" w:type="dxa"/>
            <w:gridSpan w:val="2"/>
            <w:tcBorders>
              <w:top w:val="single" w:sz="4" w:space="0" w:color="auto"/>
              <w:left w:val="nil"/>
              <w:bottom w:val="single" w:sz="4" w:space="0" w:color="auto"/>
              <w:right w:val="nil"/>
            </w:tcBorders>
            <w:noWrap/>
            <w:vAlign w:val="bottom"/>
            <w:hideMark/>
          </w:tcPr>
          <w:p w:rsidR="005F6CA0" w:rsidRPr="00F810D5" w:rsidRDefault="005F6CA0" w:rsidP="00177D57">
            <w:pPr>
              <w:jc w:val="center"/>
              <w:rPr>
                <w:b/>
                <w:color w:val="000000"/>
                <w:lang w:val="en-GB"/>
              </w:rPr>
            </w:pPr>
            <w:r w:rsidRPr="00F810D5">
              <w:rPr>
                <w:b/>
                <w:color w:val="000000"/>
                <w:lang w:val="en-GB"/>
              </w:rPr>
              <w:t xml:space="preserve">Urine biological samples </w:t>
            </w:r>
          </w:p>
          <w:p w:rsidR="005F6CA0" w:rsidRPr="00F810D5" w:rsidRDefault="005F6CA0" w:rsidP="00177D57">
            <w:pPr>
              <w:jc w:val="center"/>
              <w:rPr>
                <w:b/>
                <w:color w:val="000000"/>
                <w:lang w:val="en-GB"/>
              </w:rPr>
            </w:pPr>
            <w:r w:rsidRPr="00F810D5">
              <w:rPr>
                <w:b/>
                <w:color w:val="000000"/>
                <w:lang w:val="en-GB"/>
              </w:rPr>
              <w:t>n=65</w:t>
            </w:r>
          </w:p>
        </w:tc>
        <w:tc>
          <w:tcPr>
            <w:tcW w:w="2977" w:type="dxa"/>
            <w:gridSpan w:val="2"/>
            <w:tcBorders>
              <w:top w:val="single" w:sz="4" w:space="0" w:color="auto"/>
              <w:left w:val="nil"/>
              <w:bottom w:val="single" w:sz="4" w:space="0" w:color="auto"/>
              <w:right w:val="nil"/>
            </w:tcBorders>
            <w:noWrap/>
            <w:vAlign w:val="bottom"/>
            <w:hideMark/>
          </w:tcPr>
          <w:p w:rsidR="005F6CA0" w:rsidRPr="00F810D5" w:rsidRDefault="00CD0916" w:rsidP="00177D57">
            <w:pPr>
              <w:jc w:val="center"/>
              <w:rPr>
                <w:b/>
                <w:color w:val="000000"/>
                <w:lang w:val="en-GB"/>
              </w:rPr>
            </w:pPr>
            <w:r w:rsidRPr="00F810D5">
              <w:rPr>
                <w:b/>
                <w:color w:val="000000"/>
                <w:lang w:val="en-GB"/>
              </w:rPr>
              <w:t>Urine with imputed values n=110</w:t>
            </w:r>
          </w:p>
        </w:tc>
      </w:tr>
      <w:tr w:rsidR="005F6CA0" w:rsidTr="00177D57">
        <w:trPr>
          <w:trHeight w:val="300"/>
        </w:trPr>
        <w:tc>
          <w:tcPr>
            <w:tcW w:w="3119" w:type="dxa"/>
            <w:tcBorders>
              <w:top w:val="nil"/>
              <w:left w:val="nil"/>
              <w:bottom w:val="single" w:sz="4" w:space="0" w:color="auto"/>
              <w:right w:val="nil"/>
            </w:tcBorders>
            <w:noWrap/>
            <w:vAlign w:val="bottom"/>
            <w:hideMark/>
          </w:tcPr>
          <w:p w:rsidR="005F6CA0" w:rsidRPr="005F6CA0" w:rsidRDefault="00D07862" w:rsidP="00177D57">
            <w:pPr>
              <w:rPr>
                <w:b/>
                <w:color w:val="000000"/>
                <w:lang w:val="en-GB"/>
              </w:rPr>
            </w:pPr>
            <w:r>
              <w:rPr>
                <w:b/>
                <w:color w:val="000000"/>
                <w:lang w:val="en-GB"/>
              </w:rPr>
              <w:t>Variable</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OR (95% C.I.)</w:t>
            </w:r>
          </w:p>
        </w:tc>
        <w:tc>
          <w:tcPr>
            <w:tcW w:w="992"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p value</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OR (95% C.I.)</w:t>
            </w:r>
          </w:p>
        </w:tc>
        <w:tc>
          <w:tcPr>
            <w:tcW w:w="1134"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p value</w:t>
            </w:r>
          </w:p>
        </w:tc>
      </w:tr>
      <w:tr w:rsidR="005F6CA0" w:rsidTr="00177D57">
        <w:trPr>
          <w:trHeight w:val="300"/>
        </w:trPr>
        <w:tc>
          <w:tcPr>
            <w:tcW w:w="3119" w:type="dxa"/>
            <w:tcBorders>
              <w:top w:val="single" w:sz="4" w:space="0" w:color="auto"/>
              <w:left w:val="nil"/>
              <w:bottom w:val="single" w:sz="4" w:space="0" w:color="auto"/>
              <w:right w:val="nil"/>
            </w:tcBorders>
            <w:noWrap/>
            <w:vAlign w:val="bottom"/>
            <w:hideMark/>
          </w:tcPr>
          <w:p w:rsidR="005F6CA0" w:rsidRPr="005F6CA0" w:rsidRDefault="005F6CA0" w:rsidP="00177D57">
            <w:pPr>
              <w:rPr>
                <w:b/>
                <w:color w:val="000000"/>
                <w:lang w:val="en-GB"/>
              </w:rPr>
            </w:pPr>
            <w:r w:rsidRPr="005F6CA0">
              <w:rPr>
                <w:b/>
                <w:color w:val="000000"/>
                <w:lang w:val="en-GB"/>
              </w:rPr>
              <w:t>Urine arsenic level</w:t>
            </w:r>
          </w:p>
          <w:p w:rsidR="005F6CA0" w:rsidRPr="005F6CA0" w:rsidRDefault="005F6CA0" w:rsidP="00CD0916">
            <w:pPr>
              <w:rPr>
                <w:color w:val="000000"/>
                <w:lang w:val="en-GB"/>
              </w:rPr>
            </w:pPr>
            <w:r w:rsidRPr="005F6CA0">
              <w:rPr>
                <w:color w:val="000000"/>
                <w:lang w:val="en-GB"/>
              </w:rPr>
              <w:t xml:space="preserve">&gt; 40 </w:t>
            </w:r>
            <w:r w:rsidR="00CD0916">
              <w:rPr>
                <w:color w:val="000000"/>
                <w:lang w:val="en-GB"/>
              </w:rPr>
              <w:sym w:font="Symbol" w:char="F06D"/>
            </w:r>
            <w:r w:rsidRPr="005F6CA0">
              <w:rPr>
                <w:color w:val="000000"/>
                <w:lang w:val="en-GB"/>
              </w:rPr>
              <w:t>g/L</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2.06 (0.57-7.47)</w:t>
            </w:r>
          </w:p>
        </w:tc>
        <w:tc>
          <w:tcPr>
            <w:tcW w:w="992"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0.269</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1.29 (0.53-3.19)</w:t>
            </w:r>
          </w:p>
        </w:tc>
        <w:tc>
          <w:tcPr>
            <w:tcW w:w="1134"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0.575</w:t>
            </w:r>
          </w:p>
        </w:tc>
      </w:tr>
      <w:tr w:rsidR="005F6CA0" w:rsidTr="00177D57">
        <w:trPr>
          <w:trHeight w:val="300"/>
        </w:trPr>
        <w:tc>
          <w:tcPr>
            <w:tcW w:w="3119" w:type="dxa"/>
            <w:tcBorders>
              <w:top w:val="single" w:sz="4" w:space="0" w:color="auto"/>
              <w:left w:val="nil"/>
              <w:bottom w:val="nil"/>
              <w:right w:val="nil"/>
            </w:tcBorders>
            <w:noWrap/>
            <w:vAlign w:val="bottom"/>
            <w:hideMark/>
          </w:tcPr>
          <w:p w:rsidR="005F6CA0" w:rsidRPr="005F6CA0" w:rsidRDefault="005F6CA0" w:rsidP="00177D57">
            <w:pPr>
              <w:rPr>
                <w:b/>
                <w:color w:val="000000"/>
                <w:lang w:val="en-GB"/>
              </w:rPr>
            </w:pPr>
            <w:r w:rsidRPr="005F6CA0">
              <w:rPr>
                <w:b/>
                <w:color w:val="000000"/>
                <w:lang w:val="en-GB"/>
              </w:rPr>
              <w:t>Possible confounding factors</w:t>
            </w:r>
          </w:p>
        </w:tc>
        <w:tc>
          <w:tcPr>
            <w:tcW w:w="1843" w:type="dxa"/>
            <w:tcBorders>
              <w:top w:val="single" w:sz="4" w:space="0" w:color="auto"/>
              <w:left w:val="nil"/>
              <w:bottom w:val="nil"/>
              <w:right w:val="nil"/>
            </w:tcBorders>
            <w:noWrap/>
            <w:vAlign w:val="bottom"/>
          </w:tcPr>
          <w:p w:rsidR="005F6CA0" w:rsidRPr="005F6CA0" w:rsidRDefault="005F6CA0" w:rsidP="00177D57">
            <w:pPr>
              <w:jc w:val="center"/>
              <w:rPr>
                <w:color w:val="000000"/>
                <w:lang w:val="en-GB"/>
              </w:rPr>
            </w:pPr>
          </w:p>
        </w:tc>
        <w:tc>
          <w:tcPr>
            <w:tcW w:w="992" w:type="dxa"/>
            <w:tcBorders>
              <w:top w:val="single" w:sz="4" w:space="0" w:color="auto"/>
              <w:left w:val="nil"/>
              <w:bottom w:val="nil"/>
              <w:right w:val="nil"/>
            </w:tcBorders>
            <w:noWrap/>
            <w:vAlign w:val="bottom"/>
          </w:tcPr>
          <w:p w:rsidR="005F6CA0" w:rsidRPr="005F6CA0" w:rsidRDefault="005F6CA0" w:rsidP="00177D57">
            <w:pPr>
              <w:jc w:val="center"/>
              <w:rPr>
                <w:color w:val="000000"/>
                <w:lang w:val="en-GB"/>
              </w:rPr>
            </w:pPr>
          </w:p>
        </w:tc>
        <w:tc>
          <w:tcPr>
            <w:tcW w:w="1843" w:type="dxa"/>
            <w:tcBorders>
              <w:top w:val="single" w:sz="4" w:space="0" w:color="auto"/>
              <w:left w:val="nil"/>
              <w:bottom w:val="nil"/>
              <w:right w:val="nil"/>
            </w:tcBorders>
            <w:noWrap/>
            <w:vAlign w:val="bottom"/>
          </w:tcPr>
          <w:p w:rsidR="005F6CA0" w:rsidRPr="005F6CA0" w:rsidRDefault="005F6CA0" w:rsidP="00177D57">
            <w:pPr>
              <w:jc w:val="center"/>
              <w:rPr>
                <w:color w:val="000000"/>
                <w:lang w:val="en-GB"/>
              </w:rPr>
            </w:pPr>
          </w:p>
        </w:tc>
        <w:tc>
          <w:tcPr>
            <w:tcW w:w="1134" w:type="dxa"/>
            <w:tcBorders>
              <w:top w:val="single" w:sz="4" w:space="0" w:color="auto"/>
              <w:left w:val="nil"/>
              <w:bottom w:val="nil"/>
              <w:right w:val="nil"/>
            </w:tcBorders>
            <w:noWrap/>
            <w:vAlign w:val="bottom"/>
          </w:tcPr>
          <w:p w:rsidR="005F6CA0" w:rsidRPr="005F6CA0" w:rsidRDefault="005F6CA0" w:rsidP="00177D57">
            <w:pPr>
              <w:jc w:val="center"/>
              <w:rPr>
                <w:color w:val="000000"/>
                <w:lang w:val="en-GB"/>
              </w:rPr>
            </w:pPr>
          </w:p>
        </w:tc>
      </w:tr>
      <w:tr w:rsidR="005F6CA0" w:rsidTr="00177D57">
        <w:trPr>
          <w:trHeight w:val="300"/>
        </w:trPr>
        <w:tc>
          <w:tcPr>
            <w:tcW w:w="3119" w:type="dxa"/>
            <w:tcBorders>
              <w:top w:val="single" w:sz="4" w:space="0" w:color="auto"/>
              <w:left w:val="nil"/>
              <w:bottom w:val="nil"/>
              <w:right w:val="nil"/>
            </w:tcBorders>
            <w:noWrap/>
            <w:vAlign w:val="bottom"/>
            <w:hideMark/>
          </w:tcPr>
          <w:p w:rsidR="005F6CA0" w:rsidRPr="005F6CA0" w:rsidRDefault="005F6CA0" w:rsidP="00177D57">
            <w:pPr>
              <w:rPr>
                <w:b/>
                <w:color w:val="000000"/>
                <w:lang w:val="en-GB"/>
              </w:rPr>
            </w:pPr>
            <w:r w:rsidRPr="005F6CA0">
              <w:rPr>
                <w:b/>
                <w:color w:val="000000"/>
                <w:lang w:val="en-GB"/>
              </w:rPr>
              <w:t>Age (y</w:t>
            </w:r>
            <w:r w:rsidR="00CD0916">
              <w:rPr>
                <w:b/>
                <w:color w:val="000000"/>
                <w:lang w:val="en-GB"/>
              </w:rPr>
              <w:t>ea</w:t>
            </w:r>
            <w:r w:rsidRPr="005F6CA0">
              <w:rPr>
                <w:b/>
                <w:color w:val="000000"/>
                <w:lang w:val="en-GB"/>
              </w:rPr>
              <w:t>rs)</w:t>
            </w:r>
          </w:p>
        </w:tc>
        <w:tc>
          <w:tcPr>
            <w:tcW w:w="1843" w:type="dxa"/>
            <w:tcBorders>
              <w:top w:val="single" w:sz="4" w:space="0" w:color="auto"/>
              <w:left w:val="nil"/>
              <w:bottom w:val="nil"/>
              <w:right w:val="nil"/>
            </w:tcBorders>
            <w:noWrap/>
            <w:vAlign w:val="bottom"/>
            <w:hideMark/>
          </w:tcPr>
          <w:p w:rsidR="005F6CA0" w:rsidRPr="005F6CA0" w:rsidRDefault="005F6CA0" w:rsidP="00177D57"/>
        </w:tc>
        <w:tc>
          <w:tcPr>
            <w:tcW w:w="992" w:type="dxa"/>
            <w:tcBorders>
              <w:top w:val="single" w:sz="4" w:space="0" w:color="auto"/>
              <w:left w:val="nil"/>
              <w:bottom w:val="nil"/>
              <w:right w:val="nil"/>
            </w:tcBorders>
            <w:noWrap/>
            <w:vAlign w:val="bottom"/>
            <w:hideMark/>
          </w:tcPr>
          <w:p w:rsidR="005F6CA0" w:rsidRPr="005F6CA0" w:rsidRDefault="005F6CA0" w:rsidP="00177D57"/>
        </w:tc>
        <w:tc>
          <w:tcPr>
            <w:tcW w:w="1843" w:type="dxa"/>
            <w:tcBorders>
              <w:top w:val="single" w:sz="4" w:space="0" w:color="auto"/>
              <w:left w:val="nil"/>
              <w:bottom w:val="nil"/>
              <w:right w:val="nil"/>
            </w:tcBorders>
            <w:noWrap/>
            <w:vAlign w:val="bottom"/>
            <w:hideMark/>
          </w:tcPr>
          <w:p w:rsidR="005F6CA0" w:rsidRPr="005F6CA0" w:rsidRDefault="005F6CA0" w:rsidP="00177D57"/>
        </w:tc>
        <w:tc>
          <w:tcPr>
            <w:tcW w:w="1134" w:type="dxa"/>
            <w:tcBorders>
              <w:top w:val="single" w:sz="4" w:space="0" w:color="auto"/>
              <w:left w:val="nil"/>
              <w:bottom w:val="nil"/>
              <w:right w:val="nil"/>
            </w:tcBorders>
            <w:noWrap/>
            <w:vAlign w:val="bottom"/>
            <w:hideMark/>
          </w:tcPr>
          <w:p w:rsidR="005F6CA0" w:rsidRPr="005F6CA0" w:rsidRDefault="005F6CA0" w:rsidP="00177D57"/>
        </w:tc>
      </w:tr>
      <w:tr w:rsidR="005F6CA0" w:rsidTr="00177D57">
        <w:trPr>
          <w:trHeight w:val="300"/>
        </w:trPr>
        <w:tc>
          <w:tcPr>
            <w:tcW w:w="3119" w:type="dxa"/>
            <w:tcBorders>
              <w:top w:val="nil"/>
              <w:left w:val="nil"/>
              <w:bottom w:val="nil"/>
              <w:right w:val="nil"/>
            </w:tcBorders>
            <w:noWrap/>
            <w:vAlign w:val="bottom"/>
            <w:hideMark/>
          </w:tcPr>
          <w:p w:rsidR="005F6CA0" w:rsidRPr="005F6CA0" w:rsidRDefault="005F6CA0" w:rsidP="00177D57">
            <w:pPr>
              <w:rPr>
                <w:color w:val="000000"/>
                <w:lang w:val="en-GB"/>
              </w:rPr>
            </w:pPr>
            <w:r w:rsidRPr="005F6CA0">
              <w:rPr>
                <w:color w:val="000000"/>
                <w:lang w:val="en-GB"/>
              </w:rPr>
              <w:t>0-5</w:t>
            </w:r>
          </w:p>
        </w:tc>
        <w:tc>
          <w:tcPr>
            <w:tcW w:w="1843"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Ref. cat</w:t>
            </w:r>
          </w:p>
        </w:tc>
        <w:tc>
          <w:tcPr>
            <w:tcW w:w="992" w:type="dxa"/>
            <w:tcBorders>
              <w:top w:val="nil"/>
              <w:left w:val="nil"/>
              <w:bottom w:val="nil"/>
              <w:right w:val="nil"/>
            </w:tcBorders>
            <w:noWrap/>
            <w:vAlign w:val="bottom"/>
            <w:hideMark/>
          </w:tcPr>
          <w:p w:rsidR="005F6CA0" w:rsidRPr="005F6CA0" w:rsidRDefault="005F6CA0" w:rsidP="00177D57"/>
        </w:tc>
        <w:tc>
          <w:tcPr>
            <w:tcW w:w="1843"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Ref. cat</w:t>
            </w:r>
          </w:p>
        </w:tc>
        <w:tc>
          <w:tcPr>
            <w:tcW w:w="1134" w:type="dxa"/>
            <w:tcBorders>
              <w:top w:val="nil"/>
              <w:left w:val="nil"/>
              <w:bottom w:val="nil"/>
              <w:right w:val="nil"/>
            </w:tcBorders>
            <w:noWrap/>
            <w:vAlign w:val="bottom"/>
            <w:hideMark/>
          </w:tcPr>
          <w:p w:rsidR="005F6CA0" w:rsidRPr="005F6CA0" w:rsidRDefault="005F6CA0" w:rsidP="00177D57"/>
        </w:tc>
      </w:tr>
      <w:tr w:rsidR="005F6CA0" w:rsidTr="00177D57">
        <w:trPr>
          <w:trHeight w:val="300"/>
        </w:trPr>
        <w:tc>
          <w:tcPr>
            <w:tcW w:w="3119" w:type="dxa"/>
            <w:tcBorders>
              <w:top w:val="nil"/>
              <w:left w:val="nil"/>
              <w:bottom w:val="nil"/>
              <w:right w:val="nil"/>
            </w:tcBorders>
            <w:noWrap/>
            <w:vAlign w:val="bottom"/>
            <w:hideMark/>
          </w:tcPr>
          <w:p w:rsidR="005F6CA0" w:rsidRPr="005F6CA0" w:rsidRDefault="005F6CA0" w:rsidP="00177D57">
            <w:pPr>
              <w:rPr>
                <w:color w:val="000000"/>
                <w:lang w:val="en-GB"/>
              </w:rPr>
            </w:pPr>
            <w:r w:rsidRPr="005F6CA0">
              <w:rPr>
                <w:color w:val="000000"/>
                <w:lang w:val="en-GB"/>
              </w:rPr>
              <w:t>6-15</w:t>
            </w:r>
          </w:p>
        </w:tc>
        <w:tc>
          <w:tcPr>
            <w:tcW w:w="1843"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9.57 (1.36-67.2)</w:t>
            </w:r>
          </w:p>
        </w:tc>
        <w:tc>
          <w:tcPr>
            <w:tcW w:w="992"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0.023</w:t>
            </w:r>
          </w:p>
        </w:tc>
        <w:tc>
          <w:tcPr>
            <w:tcW w:w="1843"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1.17 (0.34-4.10)</w:t>
            </w:r>
          </w:p>
        </w:tc>
        <w:tc>
          <w:tcPr>
            <w:tcW w:w="1134" w:type="dxa"/>
            <w:tcBorders>
              <w:top w:val="nil"/>
              <w:left w:val="nil"/>
              <w:bottom w:val="nil"/>
              <w:right w:val="nil"/>
            </w:tcBorders>
            <w:noWrap/>
            <w:vAlign w:val="bottom"/>
            <w:hideMark/>
          </w:tcPr>
          <w:p w:rsidR="005F6CA0" w:rsidRPr="005F6CA0" w:rsidRDefault="005F6CA0" w:rsidP="00177D57">
            <w:pPr>
              <w:jc w:val="center"/>
              <w:rPr>
                <w:color w:val="000000"/>
                <w:lang w:val="en-GB"/>
              </w:rPr>
            </w:pPr>
            <w:r w:rsidRPr="005F6CA0">
              <w:rPr>
                <w:color w:val="000000"/>
                <w:lang w:val="en-GB"/>
              </w:rPr>
              <w:t>0.798</w:t>
            </w:r>
          </w:p>
        </w:tc>
      </w:tr>
      <w:tr w:rsidR="005F6CA0" w:rsidTr="00177D57">
        <w:trPr>
          <w:trHeight w:val="300"/>
        </w:trPr>
        <w:tc>
          <w:tcPr>
            <w:tcW w:w="3119" w:type="dxa"/>
            <w:tcBorders>
              <w:top w:val="nil"/>
              <w:left w:val="nil"/>
              <w:bottom w:val="single" w:sz="4" w:space="0" w:color="auto"/>
              <w:right w:val="nil"/>
            </w:tcBorders>
            <w:noWrap/>
            <w:vAlign w:val="bottom"/>
            <w:hideMark/>
          </w:tcPr>
          <w:p w:rsidR="005F6CA0" w:rsidRPr="005F6CA0" w:rsidRDefault="005F6CA0" w:rsidP="00177D57">
            <w:pPr>
              <w:rPr>
                <w:color w:val="000000"/>
                <w:lang w:val="en-GB"/>
              </w:rPr>
            </w:pPr>
            <w:r w:rsidRPr="005F6CA0">
              <w:rPr>
                <w:color w:val="000000"/>
                <w:lang w:val="en-GB"/>
              </w:rPr>
              <w:t>&gt; 15</w:t>
            </w:r>
          </w:p>
        </w:tc>
        <w:tc>
          <w:tcPr>
            <w:tcW w:w="1843" w:type="dxa"/>
            <w:tcBorders>
              <w:top w:val="nil"/>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6.95 (1.03-46.9)</w:t>
            </w:r>
          </w:p>
        </w:tc>
        <w:tc>
          <w:tcPr>
            <w:tcW w:w="992" w:type="dxa"/>
            <w:tcBorders>
              <w:top w:val="nil"/>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0.047</w:t>
            </w:r>
          </w:p>
        </w:tc>
        <w:tc>
          <w:tcPr>
            <w:tcW w:w="1843" w:type="dxa"/>
            <w:tcBorders>
              <w:top w:val="nil"/>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0.86 (0.25-2.94)</w:t>
            </w:r>
          </w:p>
        </w:tc>
        <w:tc>
          <w:tcPr>
            <w:tcW w:w="1134" w:type="dxa"/>
            <w:tcBorders>
              <w:top w:val="nil"/>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0.808</w:t>
            </w:r>
          </w:p>
        </w:tc>
      </w:tr>
      <w:tr w:rsidR="005F6CA0" w:rsidTr="00177D57">
        <w:trPr>
          <w:trHeight w:val="300"/>
        </w:trPr>
        <w:tc>
          <w:tcPr>
            <w:tcW w:w="3119" w:type="dxa"/>
            <w:tcBorders>
              <w:top w:val="single" w:sz="4" w:space="0" w:color="auto"/>
              <w:left w:val="nil"/>
              <w:bottom w:val="single" w:sz="4" w:space="0" w:color="auto"/>
              <w:right w:val="nil"/>
            </w:tcBorders>
            <w:noWrap/>
            <w:vAlign w:val="bottom"/>
            <w:hideMark/>
          </w:tcPr>
          <w:p w:rsidR="005F6CA0" w:rsidRPr="005F6CA0" w:rsidRDefault="005F6CA0" w:rsidP="00177D57">
            <w:pPr>
              <w:rPr>
                <w:b/>
                <w:color w:val="000000"/>
                <w:lang w:val="en-GB"/>
              </w:rPr>
            </w:pPr>
            <w:r w:rsidRPr="005F6CA0">
              <w:rPr>
                <w:b/>
                <w:color w:val="000000"/>
                <w:lang w:val="en-GB"/>
              </w:rPr>
              <w:t xml:space="preserve">Sex </w:t>
            </w:r>
          </w:p>
          <w:p w:rsidR="005F6CA0" w:rsidRPr="005F6CA0" w:rsidRDefault="005F6CA0" w:rsidP="00177D57">
            <w:pPr>
              <w:rPr>
                <w:color w:val="000000"/>
                <w:lang w:val="en-GB"/>
              </w:rPr>
            </w:pPr>
            <w:r w:rsidRPr="005F6CA0">
              <w:rPr>
                <w:color w:val="000000"/>
                <w:lang w:val="en-GB"/>
              </w:rPr>
              <w:t>Female vs male</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0.62 (0.20-1.96)</w:t>
            </w:r>
          </w:p>
        </w:tc>
        <w:tc>
          <w:tcPr>
            <w:tcW w:w="992"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0.419</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0.8 (0.36-1.81)</w:t>
            </w:r>
          </w:p>
        </w:tc>
        <w:tc>
          <w:tcPr>
            <w:tcW w:w="1134"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0.595</w:t>
            </w:r>
          </w:p>
        </w:tc>
      </w:tr>
      <w:tr w:rsidR="005F6CA0" w:rsidTr="00177D57">
        <w:trPr>
          <w:trHeight w:val="300"/>
        </w:trPr>
        <w:tc>
          <w:tcPr>
            <w:tcW w:w="3119" w:type="dxa"/>
            <w:tcBorders>
              <w:top w:val="single" w:sz="4" w:space="0" w:color="auto"/>
              <w:left w:val="nil"/>
              <w:bottom w:val="single" w:sz="4" w:space="0" w:color="auto"/>
              <w:right w:val="nil"/>
            </w:tcBorders>
            <w:noWrap/>
            <w:vAlign w:val="bottom"/>
            <w:hideMark/>
          </w:tcPr>
          <w:p w:rsidR="005F6CA0" w:rsidRPr="005F6CA0" w:rsidRDefault="005F6CA0" w:rsidP="00177D57">
            <w:pPr>
              <w:rPr>
                <w:b/>
                <w:color w:val="000000"/>
                <w:lang w:val="en-GB"/>
              </w:rPr>
            </w:pPr>
            <w:r w:rsidRPr="005F6CA0">
              <w:rPr>
                <w:b/>
                <w:color w:val="000000"/>
                <w:lang w:val="en-GB"/>
              </w:rPr>
              <w:t xml:space="preserve">Location </w:t>
            </w:r>
          </w:p>
          <w:p w:rsidR="005F6CA0" w:rsidRPr="005F6CA0" w:rsidRDefault="005F6CA0" w:rsidP="00177D57">
            <w:pPr>
              <w:rPr>
                <w:color w:val="000000"/>
                <w:lang w:val="en-GB"/>
              </w:rPr>
            </w:pPr>
            <w:r w:rsidRPr="005F6CA0">
              <w:rPr>
                <w:color w:val="000000"/>
                <w:lang w:val="en-GB"/>
              </w:rPr>
              <w:t xml:space="preserve">Outside of or within </w:t>
            </w:r>
          </w:p>
          <w:p w:rsidR="005F6CA0" w:rsidRPr="005F6CA0" w:rsidRDefault="005F6CA0" w:rsidP="00910DD5">
            <w:pPr>
              <w:rPr>
                <w:b/>
                <w:color w:val="000000"/>
                <w:lang w:val="en-GB"/>
              </w:rPr>
            </w:pPr>
            <w:r w:rsidRPr="005F6CA0">
              <w:rPr>
                <w:color w:val="000000"/>
                <w:lang w:val="en-GB"/>
              </w:rPr>
              <w:t>M</w:t>
            </w:r>
            <w:r w:rsidR="00910DD5">
              <w:rPr>
                <w:color w:val="000000"/>
                <w:lang w:val="en-GB"/>
              </w:rPr>
              <w:t>o</w:t>
            </w:r>
            <w:r w:rsidRPr="005F6CA0">
              <w:rPr>
                <w:color w:val="000000"/>
                <w:lang w:val="en-GB"/>
              </w:rPr>
              <w:t>h</w:t>
            </w:r>
            <w:r w:rsidR="00910DD5">
              <w:rPr>
                <w:color w:val="000000"/>
                <w:lang w:val="en-GB"/>
              </w:rPr>
              <w:t>i</w:t>
            </w:r>
            <w:r w:rsidRPr="005F6CA0">
              <w:rPr>
                <w:color w:val="000000"/>
                <w:lang w:val="en-GB"/>
              </w:rPr>
              <w:t>ud</w:t>
            </w:r>
            <w:r w:rsidR="00910DD5">
              <w:rPr>
                <w:color w:val="000000"/>
                <w:lang w:val="en-GB"/>
              </w:rPr>
              <w:t>d</w:t>
            </w:r>
            <w:r w:rsidRPr="005F6CA0">
              <w:rPr>
                <w:color w:val="000000"/>
                <w:lang w:val="en-GB"/>
              </w:rPr>
              <w:t>in Nagar town</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0.97 (0.23-4.14)</w:t>
            </w:r>
          </w:p>
        </w:tc>
        <w:tc>
          <w:tcPr>
            <w:tcW w:w="992"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0.964</w:t>
            </w:r>
          </w:p>
        </w:tc>
        <w:tc>
          <w:tcPr>
            <w:tcW w:w="1843"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1.32 (0.49-3.57)</w:t>
            </w:r>
          </w:p>
        </w:tc>
        <w:tc>
          <w:tcPr>
            <w:tcW w:w="1134" w:type="dxa"/>
            <w:tcBorders>
              <w:top w:val="single" w:sz="4" w:space="0" w:color="auto"/>
              <w:left w:val="nil"/>
              <w:bottom w:val="single" w:sz="4" w:space="0" w:color="auto"/>
              <w:right w:val="nil"/>
            </w:tcBorders>
            <w:noWrap/>
            <w:vAlign w:val="bottom"/>
            <w:hideMark/>
          </w:tcPr>
          <w:p w:rsidR="005F6CA0" w:rsidRPr="005F6CA0" w:rsidRDefault="005F6CA0" w:rsidP="00177D57">
            <w:pPr>
              <w:jc w:val="center"/>
              <w:rPr>
                <w:color w:val="000000"/>
                <w:lang w:val="en-GB"/>
              </w:rPr>
            </w:pPr>
            <w:r w:rsidRPr="005F6CA0">
              <w:rPr>
                <w:color w:val="000000"/>
                <w:lang w:val="en-GB"/>
              </w:rPr>
              <w:t>0.582</w:t>
            </w:r>
          </w:p>
        </w:tc>
      </w:tr>
    </w:tbl>
    <w:p w:rsidR="00293E39" w:rsidRDefault="00293E39" w:rsidP="005F6CA0">
      <w:pPr>
        <w:rPr>
          <w:sz w:val="22"/>
        </w:rPr>
      </w:pPr>
    </w:p>
    <w:p w:rsidR="005F6CA0" w:rsidRDefault="005F6CA0" w:rsidP="005F6CA0">
      <w:pPr>
        <w:rPr>
          <w:sz w:val="22"/>
        </w:rPr>
      </w:pPr>
      <w:r>
        <w:rPr>
          <w:sz w:val="22"/>
        </w:rPr>
        <w:t>OR = Odds Ratio, CI = Confidence Interval. Ref. cat = Reference category</w:t>
      </w:r>
    </w:p>
    <w:p w:rsidR="0044222B" w:rsidRDefault="0044222B" w:rsidP="005F6CA0">
      <w:pPr>
        <w:rPr>
          <w:sz w:val="22"/>
        </w:rPr>
      </w:pPr>
    </w:p>
    <w:p w:rsidR="0044222B" w:rsidRPr="00E540DC" w:rsidRDefault="0044222B" w:rsidP="005F6CA0">
      <w:pPr>
        <w:rPr>
          <w:rFonts w:asciiTheme="minorHAnsi" w:hAnsiTheme="minorHAnsi" w:cstheme="minorBidi"/>
          <w:sz w:val="22"/>
        </w:rPr>
        <w:sectPr w:rsidR="0044222B" w:rsidRPr="00E540DC" w:rsidSect="00EE4D71">
          <w:pgSz w:w="12240" w:h="15840"/>
          <w:pgMar w:top="1440" w:right="1797" w:bottom="1440" w:left="1797" w:header="709" w:footer="709" w:gutter="0"/>
          <w:cols w:space="708"/>
          <w:docGrid w:linePitch="360"/>
        </w:sectPr>
      </w:pPr>
    </w:p>
    <w:p w:rsidR="005F6CA0" w:rsidRDefault="005F6CA0"/>
    <w:p w:rsidR="00FB24CD" w:rsidRPr="00F810D5" w:rsidRDefault="005F6CA0" w:rsidP="00FB24CD">
      <w:pPr>
        <w:jc w:val="center"/>
        <w:rPr>
          <w:b/>
          <w:noProof/>
          <w:sz w:val="28"/>
        </w:rPr>
      </w:pPr>
      <w:r>
        <w:fldChar w:fldCharType="begin"/>
      </w:r>
      <w:r>
        <w:instrText xml:space="preserve"> ADDIN REFMGR.REFLIST </w:instrText>
      </w:r>
      <w:r>
        <w:fldChar w:fldCharType="separate"/>
      </w:r>
      <w:r w:rsidR="00FB24CD" w:rsidRPr="00F810D5">
        <w:rPr>
          <w:b/>
          <w:noProof/>
          <w:sz w:val="28"/>
        </w:rPr>
        <w:t>Reference</w:t>
      </w:r>
      <w:r w:rsidR="0044222B" w:rsidRPr="00F810D5">
        <w:rPr>
          <w:b/>
          <w:noProof/>
          <w:sz w:val="28"/>
        </w:rPr>
        <w:t>s</w:t>
      </w:r>
      <w:r w:rsidR="00F810D5" w:rsidRPr="00F810D5">
        <w:rPr>
          <w:b/>
          <w:noProof/>
          <w:sz w:val="28"/>
        </w:rPr>
        <w:t xml:space="preserve"> S1</w:t>
      </w:r>
    </w:p>
    <w:p w:rsidR="00FB24CD" w:rsidRDefault="00FB24CD" w:rsidP="00FB24CD">
      <w:pPr>
        <w:jc w:val="center"/>
        <w:rPr>
          <w:noProof/>
        </w:rPr>
      </w:pPr>
    </w:p>
    <w:p w:rsidR="00FB24CD" w:rsidRDefault="00FB24CD" w:rsidP="00FB24CD">
      <w:pPr>
        <w:tabs>
          <w:tab w:val="right" w:pos="360"/>
          <w:tab w:val="left" w:pos="540"/>
        </w:tabs>
        <w:spacing w:after="240" w:line="240" w:lineRule="auto"/>
        <w:ind w:left="1260" w:hanging="1260"/>
        <w:rPr>
          <w:noProof/>
        </w:rPr>
      </w:pPr>
      <w:r>
        <w:rPr>
          <w:noProof/>
        </w:rPr>
        <w:tab/>
        <w:t xml:space="preserve">1. </w:t>
      </w:r>
      <w:r>
        <w:rPr>
          <w:noProof/>
        </w:rPr>
        <w:tab/>
        <w:t>Williams PN, Villada A, Deacon C, Raab A, Figuerola J, Green AJ, Feldmann J, Meharg AA (2007) Greatly enhanced arsenic shoot assimilation in rice leads to elevated grain levels compared to wheat and barley. Environ Sci Technol 41: 6854-6859.</w:t>
      </w:r>
    </w:p>
    <w:p w:rsidR="00FB24CD" w:rsidRDefault="00FB24CD" w:rsidP="00FB24CD">
      <w:pPr>
        <w:tabs>
          <w:tab w:val="right" w:pos="360"/>
          <w:tab w:val="left" w:pos="540"/>
        </w:tabs>
        <w:spacing w:after="240" w:line="240" w:lineRule="auto"/>
        <w:ind w:left="1260" w:hanging="1260"/>
        <w:rPr>
          <w:noProof/>
        </w:rPr>
      </w:pPr>
      <w:r>
        <w:rPr>
          <w:noProof/>
        </w:rPr>
        <w:tab/>
        <w:t xml:space="preserve">2. </w:t>
      </w:r>
      <w:r>
        <w:rPr>
          <w:noProof/>
        </w:rPr>
        <w:tab/>
        <w:t>Ravenscroft, P., Brammer, H., and Richards, K. (2009) Arsenic Pollution: A Global Synthesis. Chichester: Wiley-Blackwell. 588 p.</w:t>
      </w:r>
    </w:p>
    <w:p w:rsidR="00FB24CD" w:rsidRDefault="00FB24CD" w:rsidP="00FB24CD">
      <w:pPr>
        <w:tabs>
          <w:tab w:val="right" w:pos="360"/>
          <w:tab w:val="left" w:pos="540"/>
        </w:tabs>
        <w:spacing w:after="240" w:line="240" w:lineRule="auto"/>
        <w:ind w:left="1260" w:hanging="1260"/>
        <w:rPr>
          <w:noProof/>
        </w:rPr>
      </w:pPr>
      <w:r>
        <w:rPr>
          <w:noProof/>
        </w:rPr>
        <w:tab/>
        <w:t xml:space="preserve">3. </w:t>
      </w:r>
      <w:r>
        <w:rPr>
          <w:noProof/>
        </w:rPr>
        <w:tab/>
        <w:t>Mandal BK, Suzuki KT (2002) Arsenic round the world: a review. Talanta 58: 201-235.</w:t>
      </w:r>
    </w:p>
    <w:p w:rsidR="00FB24CD" w:rsidRDefault="00FB24CD" w:rsidP="00FB24CD">
      <w:pPr>
        <w:tabs>
          <w:tab w:val="right" w:pos="360"/>
          <w:tab w:val="left" w:pos="540"/>
        </w:tabs>
        <w:spacing w:after="240" w:line="240" w:lineRule="auto"/>
        <w:ind w:left="1260" w:hanging="1260"/>
        <w:rPr>
          <w:noProof/>
        </w:rPr>
      </w:pPr>
      <w:r>
        <w:rPr>
          <w:noProof/>
        </w:rPr>
        <w:tab/>
        <w:t xml:space="preserve">4. </w:t>
      </w:r>
      <w:r>
        <w:rPr>
          <w:noProof/>
        </w:rPr>
        <w:tab/>
        <w:t>Concha G, Nermell B, Vahter M (2006) Spatial and temporal variations in arsenic exposure via drinking-water in Northern Argentina. Journal of Health Population and Nutrition 24: 317-326.</w:t>
      </w:r>
    </w:p>
    <w:p w:rsidR="00FB24CD" w:rsidRDefault="00FB24CD" w:rsidP="00FB24CD">
      <w:pPr>
        <w:tabs>
          <w:tab w:val="right" w:pos="360"/>
          <w:tab w:val="left" w:pos="540"/>
        </w:tabs>
        <w:spacing w:after="240" w:line="240" w:lineRule="auto"/>
        <w:ind w:left="1260" w:hanging="1260"/>
        <w:rPr>
          <w:noProof/>
        </w:rPr>
      </w:pPr>
      <w:r>
        <w:rPr>
          <w:noProof/>
        </w:rPr>
        <w:tab/>
        <w:t xml:space="preserve">5. </w:t>
      </w:r>
      <w:r>
        <w:rPr>
          <w:noProof/>
        </w:rPr>
        <w:tab/>
        <w:t>Vahter M (1994) What are the chemical forms of arsenic in urine, and what can they tell us about exposure? Clin Chem 40: 679-680.</w:t>
      </w:r>
    </w:p>
    <w:p w:rsidR="00FB24CD" w:rsidRDefault="00FB24CD" w:rsidP="00FB24CD">
      <w:pPr>
        <w:tabs>
          <w:tab w:val="right" w:pos="360"/>
          <w:tab w:val="left" w:pos="540"/>
        </w:tabs>
        <w:spacing w:after="240" w:line="240" w:lineRule="auto"/>
        <w:ind w:left="1260" w:hanging="1260"/>
        <w:rPr>
          <w:noProof/>
        </w:rPr>
      </w:pPr>
      <w:r>
        <w:rPr>
          <w:noProof/>
        </w:rPr>
        <w:tab/>
        <w:t xml:space="preserve">6. </w:t>
      </w:r>
      <w:r>
        <w:rPr>
          <w:noProof/>
        </w:rPr>
        <w:tab/>
        <w:t>Gamble MV, Liu X (2005) Urinary creatinine and arsenic metabolism. Environ Health Perspect 113: A442-A443.</w:t>
      </w:r>
    </w:p>
    <w:p w:rsidR="00FB24CD" w:rsidRDefault="00FB24CD" w:rsidP="00FB24CD">
      <w:pPr>
        <w:tabs>
          <w:tab w:val="right" w:pos="360"/>
          <w:tab w:val="left" w:pos="540"/>
        </w:tabs>
        <w:spacing w:line="240" w:lineRule="auto"/>
        <w:ind w:left="1260" w:hanging="1260"/>
        <w:rPr>
          <w:noProof/>
        </w:rPr>
      </w:pPr>
      <w:r>
        <w:rPr>
          <w:noProof/>
        </w:rPr>
        <w:tab/>
        <w:t xml:space="preserve">7. </w:t>
      </w:r>
      <w:r>
        <w:rPr>
          <w:noProof/>
        </w:rPr>
        <w:tab/>
        <w:t>Mazumder DN (2001) Clinical aspects of chronic arsenic toxicity. J Assoc Physicians India 49: 650-655.</w:t>
      </w:r>
    </w:p>
    <w:p w:rsidR="00FB24CD" w:rsidRDefault="00FB24CD" w:rsidP="00FB24CD">
      <w:pPr>
        <w:tabs>
          <w:tab w:val="right" w:pos="360"/>
          <w:tab w:val="left" w:pos="540"/>
        </w:tabs>
        <w:spacing w:line="240" w:lineRule="auto"/>
        <w:ind w:left="1260" w:hanging="1260"/>
        <w:rPr>
          <w:noProof/>
        </w:rPr>
      </w:pPr>
    </w:p>
    <w:p w:rsidR="00D92995" w:rsidRDefault="005F6CA0">
      <w:r>
        <w:fldChar w:fldCharType="end"/>
      </w:r>
    </w:p>
    <w:sectPr w:rsidR="00D92995" w:rsidSect="00EE4D71">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hf RM12&lt;/item&gt;&lt;/Libraries&gt;&lt;/ENLibraries&gt;"/>
  </w:docVars>
  <w:rsids>
    <w:rsidRoot w:val="005F6CA0"/>
    <w:rsid w:val="00293E39"/>
    <w:rsid w:val="003D13C3"/>
    <w:rsid w:val="0044222B"/>
    <w:rsid w:val="005F6CA0"/>
    <w:rsid w:val="0063663F"/>
    <w:rsid w:val="00662D77"/>
    <w:rsid w:val="00670EFC"/>
    <w:rsid w:val="00910DD5"/>
    <w:rsid w:val="00970775"/>
    <w:rsid w:val="00CD0916"/>
    <w:rsid w:val="00D07862"/>
    <w:rsid w:val="00D92995"/>
    <w:rsid w:val="00F810D5"/>
    <w:rsid w:val="00FB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5A9D-2D89-432C-B17D-9550853F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Life Sciences</dc:creator>
  <cp:lastModifiedBy>Alan Fairlamb</cp:lastModifiedBy>
  <cp:revision>2</cp:revision>
  <dcterms:created xsi:type="dcterms:W3CDTF">2015-01-19T13:07:00Z</dcterms:created>
  <dcterms:modified xsi:type="dcterms:W3CDTF">2015-01-19T13:07:00Z</dcterms:modified>
</cp:coreProperties>
</file>