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10" w:rsidRPr="00222A0C" w:rsidRDefault="00085610" w:rsidP="00A32E16">
      <w:pPr>
        <w:jc w:val="center"/>
        <w:rPr>
          <w:rFonts w:ascii="Arial" w:hAnsi="Arial" w:cs="Arial"/>
          <w:sz w:val="36"/>
          <w:szCs w:val="32"/>
        </w:rPr>
      </w:pPr>
      <w:r w:rsidRPr="00222A0C">
        <w:rPr>
          <w:rFonts w:ascii="Arial" w:hAnsi="Arial" w:cs="Arial"/>
          <w:sz w:val="36"/>
          <w:szCs w:val="32"/>
        </w:rPr>
        <w:t>S</w:t>
      </w:r>
      <w:r w:rsidR="006A587B">
        <w:rPr>
          <w:rFonts w:ascii="Arial" w:hAnsi="Arial" w:cs="Arial"/>
          <w:sz w:val="36"/>
          <w:szCs w:val="32"/>
        </w:rPr>
        <w:t>2</w:t>
      </w:r>
      <w:bookmarkStart w:id="0" w:name="_GoBack"/>
      <w:bookmarkEnd w:id="0"/>
      <w:r w:rsidR="00B64779">
        <w:rPr>
          <w:rFonts w:ascii="Arial" w:hAnsi="Arial" w:cs="Arial"/>
          <w:sz w:val="36"/>
          <w:szCs w:val="32"/>
        </w:rPr>
        <w:t xml:space="preserve"> Table. Extrapolating current intervention trends.</w:t>
      </w:r>
    </w:p>
    <w:p w:rsidR="00551B02" w:rsidRPr="00222A0C" w:rsidRDefault="00A8431F" w:rsidP="00551B02">
      <w:pPr>
        <w:rPr>
          <w:rFonts w:ascii="Arial" w:hAnsi="Arial" w:cs="Arial"/>
        </w:rPr>
      </w:pPr>
      <w:r w:rsidRPr="00222A0C">
        <w:rPr>
          <w:rFonts w:ascii="Arial" w:hAnsi="Arial" w:cs="Arial"/>
        </w:rPr>
        <w:t xml:space="preserve">In order to quantify the likelihood that Australia’s current control effort will achieve the target of national trachoma elimination by 2020, an intervention strategy was compiled that incorporates extrapolations of the observed trends in outcomes from control efforts of previous screening and treatment events. To construct this projected strategy, national surveillance data from 2007 to 2011 was analysed for time-varying trends of control variables such as screening and treatment coverage, screening and treatment synchronicity, and the prevalence of facial cleanliness in children. The community-specific trends ascertained from the data were combined to generate the expected future intervention effort should the national trachoma control guidelines remain unaltered. Due to a large amount of noise in the observed variables, a series of constant values were generated to best describe the likely future control effort. </w:t>
      </w:r>
      <w:r w:rsidR="000435ED">
        <w:rPr>
          <w:rFonts w:ascii="Arial" w:hAnsi="Arial" w:cs="Arial"/>
        </w:rPr>
        <w:t>T</w:t>
      </w:r>
      <w:r w:rsidRPr="00222A0C">
        <w:rPr>
          <w:rFonts w:ascii="Arial" w:hAnsi="Arial" w:cs="Arial"/>
        </w:rPr>
        <w:t xml:space="preserve">able </w:t>
      </w:r>
      <w:r w:rsidR="000435ED">
        <w:rPr>
          <w:rFonts w:ascii="Arial" w:hAnsi="Arial" w:cs="Arial"/>
        </w:rPr>
        <w:t xml:space="preserve">1 </w:t>
      </w:r>
      <w:r w:rsidRPr="00222A0C">
        <w:rPr>
          <w:rFonts w:ascii="Arial" w:hAnsi="Arial" w:cs="Arial"/>
        </w:rPr>
        <w:t>details the values of these constants.</w:t>
      </w:r>
    </w:p>
    <w:p w:rsidR="0001590B" w:rsidRPr="00222A0C" w:rsidRDefault="000435ED" w:rsidP="00551B02">
      <w:pPr>
        <w:rPr>
          <w:rFonts w:ascii="Arial" w:hAnsi="Arial" w:cs="Arial"/>
        </w:rPr>
      </w:pPr>
      <w:r w:rsidRPr="000435ED">
        <w:rPr>
          <w:rFonts w:ascii="Arial" w:hAnsi="Arial" w:cs="Arial"/>
          <w:b/>
        </w:rPr>
        <w:t>Table 1)</w:t>
      </w:r>
      <w:r>
        <w:rPr>
          <w:rFonts w:ascii="Arial" w:hAnsi="Arial" w:cs="Arial"/>
        </w:rPr>
        <w:t xml:space="preserve"> Extrapolation of current intervention trends.</w:t>
      </w:r>
    </w:p>
    <w:tbl>
      <w:tblPr>
        <w:tblStyle w:val="TableGrid"/>
        <w:tblW w:w="9704" w:type="dxa"/>
        <w:jc w:val="center"/>
        <w:tblLook w:val="04A0" w:firstRow="1" w:lastRow="0" w:firstColumn="1" w:lastColumn="0" w:noHBand="0" w:noVBand="1"/>
      </w:tblPr>
      <w:tblGrid>
        <w:gridCol w:w="3000"/>
        <w:gridCol w:w="1835"/>
        <w:gridCol w:w="1623"/>
        <w:gridCol w:w="1623"/>
        <w:gridCol w:w="1623"/>
      </w:tblGrid>
      <w:tr w:rsidR="0001590B" w:rsidRPr="00222A0C" w:rsidTr="00975075">
        <w:trPr>
          <w:jc w:val="center"/>
        </w:trPr>
        <w:tc>
          <w:tcPr>
            <w:tcW w:w="4835" w:type="dxa"/>
            <w:gridSpan w:val="2"/>
            <w:tcBorders>
              <w:top w:val="nil"/>
              <w:left w:val="nil"/>
              <w:bottom w:val="single" w:sz="12" w:space="0" w:color="auto"/>
            </w:tcBorders>
            <w:vAlign w:val="center"/>
          </w:tcPr>
          <w:p w:rsidR="0001590B" w:rsidRPr="00222A0C" w:rsidRDefault="0001590B" w:rsidP="0001590B">
            <w:pPr>
              <w:jc w:val="center"/>
              <w:rPr>
                <w:rFonts w:ascii="Arial" w:hAnsi="Arial" w:cs="Arial"/>
              </w:rPr>
            </w:pPr>
            <w:r w:rsidRPr="00222A0C">
              <w:rPr>
                <w:rFonts w:ascii="Arial" w:hAnsi="Arial" w:cs="Arial"/>
              </w:rPr>
              <w:t>Modelled region</w:t>
            </w:r>
          </w:p>
        </w:tc>
        <w:tc>
          <w:tcPr>
            <w:tcW w:w="1623" w:type="dxa"/>
            <w:tcBorders>
              <w:top w:val="nil"/>
              <w:bottom w:val="single" w:sz="12"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Predominantly hyperendemic region</w:t>
            </w:r>
          </w:p>
        </w:tc>
        <w:tc>
          <w:tcPr>
            <w:tcW w:w="1623" w:type="dxa"/>
            <w:tcBorders>
              <w:top w:val="nil"/>
              <w:bottom w:val="single" w:sz="12"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Predominantly mesoendemic region</w:t>
            </w:r>
          </w:p>
        </w:tc>
        <w:tc>
          <w:tcPr>
            <w:tcW w:w="1623" w:type="dxa"/>
            <w:tcBorders>
              <w:top w:val="nil"/>
              <w:bottom w:val="single" w:sz="12" w:space="0" w:color="auto"/>
              <w:right w:val="nil"/>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Predominantly hypoendemic region</w:t>
            </w:r>
          </w:p>
        </w:tc>
      </w:tr>
      <w:tr w:rsidR="0001590B" w:rsidRPr="00222A0C" w:rsidTr="00975075">
        <w:trPr>
          <w:jc w:val="center"/>
        </w:trPr>
        <w:tc>
          <w:tcPr>
            <w:tcW w:w="3000" w:type="dxa"/>
            <w:vMerge w:val="restart"/>
            <w:tcBorders>
              <w:top w:val="single" w:sz="12" w:space="0" w:color="auto"/>
              <w:left w:val="nil"/>
              <w:right w:val="dashed" w:sz="4" w:space="0" w:color="auto"/>
            </w:tcBorders>
            <w:vAlign w:val="center"/>
          </w:tcPr>
          <w:p w:rsidR="0001590B" w:rsidRPr="00222A0C" w:rsidRDefault="0001590B" w:rsidP="0001590B">
            <w:pPr>
              <w:jc w:val="center"/>
              <w:rPr>
                <w:rFonts w:ascii="Arial" w:hAnsi="Arial" w:cs="Arial"/>
              </w:rPr>
            </w:pPr>
            <w:r w:rsidRPr="00222A0C">
              <w:rPr>
                <w:rFonts w:ascii="Arial" w:hAnsi="Arial" w:cs="Arial"/>
              </w:rPr>
              <w:t>Screening coverage (%)</w:t>
            </w:r>
          </w:p>
        </w:tc>
        <w:tc>
          <w:tcPr>
            <w:tcW w:w="1835" w:type="dxa"/>
            <w:tcBorders>
              <w:top w:val="single" w:sz="12" w:space="0" w:color="auto"/>
              <w:left w:val="dashed" w:sz="4" w:space="0" w:color="auto"/>
              <w:bottom w:val="dashed" w:sz="4" w:space="0" w:color="auto"/>
              <w:right w:val="single" w:sz="4" w:space="0" w:color="auto"/>
            </w:tcBorders>
            <w:vAlign w:val="center"/>
          </w:tcPr>
          <w:p w:rsidR="0001590B" w:rsidRPr="00222A0C" w:rsidRDefault="0001590B" w:rsidP="0001590B">
            <w:pPr>
              <w:jc w:val="center"/>
              <w:rPr>
                <w:rFonts w:ascii="Arial" w:hAnsi="Arial" w:cs="Arial"/>
              </w:rPr>
            </w:pPr>
            <w:r w:rsidRPr="00222A0C">
              <w:rPr>
                <w:rFonts w:ascii="Arial" w:hAnsi="Arial" w:cs="Arial"/>
              </w:rPr>
              <w:t>1-4 year olds</w:t>
            </w:r>
          </w:p>
        </w:tc>
        <w:tc>
          <w:tcPr>
            <w:tcW w:w="1623" w:type="dxa"/>
            <w:tcBorders>
              <w:top w:val="single" w:sz="12" w:space="0" w:color="auto"/>
              <w:left w:val="single" w:sz="4" w:space="0" w:color="auto"/>
              <w:bottom w:val="dashed" w:sz="4" w:space="0" w:color="auto"/>
              <w:right w:val="single" w:sz="4"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12.3</w:t>
            </w:r>
          </w:p>
        </w:tc>
        <w:tc>
          <w:tcPr>
            <w:tcW w:w="1623" w:type="dxa"/>
            <w:tcBorders>
              <w:top w:val="single" w:sz="12" w:space="0" w:color="auto"/>
              <w:left w:val="single" w:sz="4" w:space="0" w:color="auto"/>
              <w:bottom w:val="dashed" w:sz="4" w:space="0" w:color="auto"/>
              <w:right w:val="single" w:sz="4"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13.5</w:t>
            </w:r>
          </w:p>
        </w:tc>
        <w:tc>
          <w:tcPr>
            <w:tcW w:w="1623" w:type="dxa"/>
            <w:tcBorders>
              <w:top w:val="single" w:sz="12" w:space="0" w:color="auto"/>
              <w:left w:val="single" w:sz="4" w:space="0" w:color="auto"/>
              <w:bottom w:val="dashed" w:sz="4" w:space="0" w:color="auto"/>
              <w:right w:val="nil"/>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18.6</w:t>
            </w:r>
          </w:p>
        </w:tc>
      </w:tr>
      <w:tr w:rsidR="0001590B" w:rsidRPr="00222A0C" w:rsidTr="00975075">
        <w:trPr>
          <w:jc w:val="center"/>
        </w:trPr>
        <w:tc>
          <w:tcPr>
            <w:tcW w:w="3000" w:type="dxa"/>
            <w:vMerge/>
            <w:tcBorders>
              <w:left w:val="nil"/>
              <w:right w:val="dashed" w:sz="4" w:space="0" w:color="auto"/>
            </w:tcBorders>
            <w:vAlign w:val="center"/>
          </w:tcPr>
          <w:p w:rsidR="0001590B" w:rsidRPr="00222A0C" w:rsidRDefault="0001590B" w:rsidP="0001590B">
            <w:pPr>
              <w:jc w:val="center"/>
              <w:rPr>
                <w:rFonts w:ascii="Arial" w:hAnsi="Arial" w:cs="Arial"/>
              </w:rPr>
            </w:pPr>
          </w:p>
        </w:tc>
        <w:tc>
          <w:tcPr>
            <w:tcW w:w="1835" w:type="dxa"/>
            <w:tcBorders>
              <w:top w:val="dashed" w:sz="4" w:space="0" w:color="auto"/>
              <w:left w:val="dashed" w:sz="4" w:space="0" w:color="auto"/>
              <w:bottom w:val="dashed" w:sz="4" w:space="0" w:color="auto"/>
              <w:right w:val="single" w:sz="4" w:space="0" w:color="auto"/>
            </w:tcBorders>
            <w:vAlign w:val="center"/>
          </w:tcPr>
          <w:p w:rsidR="0001590B" w:rsidRPr="00222A0C" w:rsidRDefault="0001590B" w:rsidP="0001590B">
            <w:pPr>
              <w:jc w:val="center"/>
              <w:rPr>
                <w:rFonts w:ascii="Arial" w:hAnsi="Arial" w:cs="Arial"/>
              </w:rPr>
            </w:pPr>
            <w:r w:rsidRPr="00222A0C">
              <w:rPr>
                <w:rFonts w:ascii="Arial" w:hAnsi="Arial" w:cs="Arial"/>
              </w:rPr>
              <w:t>5-9 year olds</w:t>
            </w:r>
          </w:p>
        </w:tc>
        <w:tc>
          <w:tcPr>
            <w:tcW w:w="1623" w:type="dxa"/>
            <w:tcBorders>
              <w:top w:val="dashed" w:sz="4" w:space="0" w:color="auto"/>
              <w:left w:val="single" w:sz="4" w:space="0" w:color="auto"/>
              <w:bottom w:val="dashed" w:sz="4" w:space="0" w:color="auto"/>
              <w:right w:val="single" w:sz="4"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81.6</w:t>
            </w:r>
          </w:p>
        </w:tc>
        <w:tc>
          <w:tcPr>
            <w:tcW w:w="1623" w:type="dxa"/>
            <w:tcBorders>
              <w:top w:val="dashed" w:sz="4" w:space="0" w:color="auto"/>
              <w:left w:val="single" w:sz="4" w:space="0" w:color="auto"/>
              <w:bottom w:val="dashed" w:sz="4" w:space="0" w:color="auto"/>
              <w:right w:val="single" w:sz="4"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70.5</w:t>
            </w:r>
          </w:p>
        </w:tc>
        <w:tc>
          <w:tcPr>
            <w:tcW w:w="1623" w:type="dxa"/>
            <w:tcBorders>
              <w:top w:val="dashed" w:sz="4" w:space="0" w:color="auto"/>
              <w:left w:val="single" w:sz="4" w:space="0" w:color="auto"/>
              <w:bottom w:val="dashed" w:sz="4" w:space="0" w:color="auto"/>
              <w:right w:val="nil"/>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78.9</w:t>
            </w:r>
          </w:p>
        </w:tc>
      </w:tr>
      <w:tr w:rsidR="0001590B" w:rsidRPr="00222A0C" w:rsidTr="00975075">
        <w:trPr>
          <w:jc w:val="center"/>
        </w:trPr>
        <w:tc>
          <w:tcPr>
            <w:tcW w:w="3000" w:type="dxa"/>
            <w:vMerge/>
            <w:tcBorders>
              <w:left w:val="nil"/>
              <w:right w:val="dashed" w:sz="4" w:space="0" w:color="auto"/>
            </w:tcBorders>
            <w:vAlign w:val="center"/>
          </w:tcPr>
          <w:p w:rsidR="0001590B" w:rsidRPr="00222A0C" w:rsidRDefault="0001590B" w:rsidP="0001590B">
            <w:pPr>
              <w:jc w:val="center"/>
              <w:rPr>
                <w:rFonts w:ascii="Arial" w:hAnsi="Arial" w:cs="Arial"/>
              </w:rPr>
            </w:pPr>
          </w:p>
        </w:tc>
        <w:tc>
          <w:tcPr>
            <w:tcW w:w="1835" w:type="dxa"/>
            <w:tcBorders>
              <w:top w:val="dashed" w:sz="4" w:space="0" w:color="auto"/>
              <w:left w:val="dashed" w:sz="4" w:space="0" w:color="auto"/>
              <w:right w:val="single" w:sz="4" w:space="0" w:color="auto"/>
            </w:tcBorders>
            <w:vAlign w:val="center"/>
          </w:tcPr>
          <w:p w:rsidR="0001590B" w:rsidRPr="00222A0C" w:rsidRDefault="0001590B" w:rsidP="0001590B">
            <w:pPr>
              <w:jc w:val="center"/>
              <w:rPr>
                <w:rFonts w:ascii="Arial" w:hAnsi="Arial" w:cs="Arial"/>
              </w:rPr>
            </w:pPr>
            <w:r w:rsidRPr="00222A0C">
              <w:rPr>
                <w:rFonts w:ascii="Arial" w:hAnsi="Arial" w:cs="Arial"/>
              </w:rPr>
              <w:t>10-14 year olds</w:t>
            </w:r>
          </w:p>
        </w:tc>
        <w:tc>
          <w:tcPr>
            <w:tcW w:w="1623" w:type="dxa"/>
            <w:tcBorders>
              <w:top w:val="dashed" w:sz="4" w:space="0" w:color="auto"/>
              <w:left w:val="single" w:sz="4" w:space="0" w:color="auto"/>
              <w:right w:val="single" w:sz="4"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61.7</w:t>
            </w:r>
          </w:p>
        </w:tc>
        <w:tc>
          <w:tcPr>
            <w:tcW w:w="1623" w:type="dxa"/>
            <w:tcBorders>
              <w:top w:val="dashed" w:sz="4" w:space="0" w:color="auto"/>
              <w:left w:val="single" w:sz="4" w:space="0" w:color="auto"/>
              <w:right w:val="single" w:sz="4"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54.9</w:t>
            </w:r>
          </w:p>
        </w:tc>
        <w:tc>
          <w:tcPr>
            <w:tcW w:w="1623" w:type="dxa"/>
            <w:tcBorders>
              <w:top w:val="dashed" w:sz="4" w:space="0" w:color="auto"/>
              <w:left w:val="single" w:sz="4" w:space="0" w:color="auto"/>
              <w:right w:val="nil"/>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61.4</w:t>
            </w:r>
          </w:p>
        </w:tc>
      </w:tr>
      <w:tr w:rsidR="0001590B" w:rsidRPr="00222A0C" w:rsidTr="00975075">
        <w:trPr>
          <w:jc w:val="center"/>
        </w:trPr>
        <w:tc>
          <w:tcPr>
            <w:tcW w:w="4835" w:type="dxa"/>
            <w:gridSpan w:val="2"/>
            <w:tcBorders>
              <w:left w:val="nil"/>
            </w:tcBorders>
            <w:vAlign w:val="center"/>
          </w:tcPr>
          <w:p w:rsidR="0001590B" w:rsidRPr="00222A0C" w:rsidRDefault="0001590B" w:rsidP="0001590B">
            <w:pPr>
              <w:jc w:val="center"/>
              <w:rPr>
                <w:rFonts w:ascii="Arial" w:hAnsi="Arial" w:cs="Arial"/>
              </w:rPr>
            </w:pPr>
            <w:r w:rsidRPr="00222A0C">
              <w:rPr>
                <w:rFonts w:ascii="Arial" w:hAnsi="Arial" w:cs="Arial"/>
              </w:rPr>
              <w:t>Treatment coverage (%)</w:t>
            </w:r>
          </w:p>
        </w:tc>
        <w:tc>
          <w:tcPr>
            <w:tcW w:w="1623" w:type="dxa"/>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84.8</w:t>
            </w:r>
          </w:p>
        </w:tc>
        <w:tc>
          <w:tcPr>
            <w:tcW w:w="1623" w:type="dxa"/>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87.6</w:t>
            </w:r>
          </w:p>
        </w:tc>
        <w:tc>
          <w:tcPr>
            <w:tcW w:w="1623" w:type="dxa"/>
            <w:tcBorders>
              <w:right w:val="nil"/>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86.1</w:t>
            </w:r>
          </w:p>
        </w:tc>
      </w:tr>
      <w:tr w:rsidR="0001590B" w:rsidRPr="00222A0C" w:rsidTr="00975075">
        <w:trPr>
          <w:jc w:val="center"/>
        </w:trPr>
        <w:tc>
          <w:tcPr>
            <w:tcW w:w="3000" w:type="dxa"/>
            <w:vMerge w:val="restart"/>
            <w:tcBorders>
              <w:left w:val="nil"/>
              <w:right w:val="dashed" w:sz="4" w:space="0" w:color="auto"/>
            </w:tcBorders>
            <w:vAlign w:val="center"/>
          </w:tcPr>
          <w:p w:rsidR="0001590B" w:rsidRPr="00222A0C" w:rsidRDefault="0001590B" w:rsidP="0001590B">
            <w:pPr>
              <w:jc w:val="center"/>
              <w:rPr>
                <w:rFonts w:ascii="Arial" w:hAnsi="Arial" w:cs="Arial"/>
              </w:rPr>
            </w:pPr>
            <w:r w:rsidRPr="00222A0C">
              <w:rPr>
                <w:rFonts w:ascii="Arial" w:hAnsi="Arial" w:cs="Arial"/>
              </w:rPr>
              <w:t>Clean Face prevalence (%)</w:t>
            </w:r>
          </w:p>
        </w:tc>
        <w:tc>
          <w:tcPr>
            <w:tcW w:w="1835" w:type="dxa"/>
            <w:tcBorders>
              <w:left w:val="dashed" w:sz="4" w:space="0" w:color="auto"/>
              <w:bottom w:val="dashed" w:sz="4" w:space="0" w:color="auto"/>
              <w:right w:val="single" w:sz="4" w:space="0" w:color="auto"/>
            </w:tcBorders>
            <w:vAlign w:val="center"/>
          </w:tcPr>
          <w:p w:rsidR="0001590B" w:rsidRPr="00222A0C" w:rsidRDefault="0001590B" w:rsidP="0001590B">
            <w:pPr>
              <w:jc w:val="center"/>
              <w:rPr>
                <w:rFonts w:ascii="Arial" w:hAnsi="Arial" w:cs="Arial"/>
              </w:rPr>
            </w:pPr>
            <w:r w:rsidRPr="00222A0C">
              <w:rPr>
                <w:rFonts w:ascii="Arial" w:hAnsi="Arial" w:cs="Arial"/>
              </w:rPr>
              <w:t>1-4 year olds</w:t>
            </w:r>
          </w:p>
        </w:tc>
        <w:tc>
          <w:tcPr>
            <w:tcW w:w="1623" w:type="dxa"/>
            <w:tcBorders>
              <w:left w:val="single" w:sz="4" w:space="0" w:color="auto"/>
              <w:bottom w:val="dashed" w:sz="4" w:space="0" w:color="auto"/>
              <w:right w:val="single" w:sz="4"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33.3</w:t>
            </w:r>
          </w:p>
        </w:tc>
        <w:tc>
          <w:tcPr>
            <w:tcW w:w="1623" w:type="dxa"/>
            <w:tcBorders>
              <w:left w:val="single" w:sz="4" w:space="0" w:color="auto"/>
              <w:bottom w:val="dashed" w:sz="4" w:space="0" w:color="auto"/>
              <w:right w:val="single" w:sz="4"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75.2</w:t>
            </w:r>
          </w:p>
        </w:tc>
        <w:tc>
          <w:tcPr>
            <w:tcW w:w="1623" w:type="dxa"/>
            <w:tcBorders>
              <w:left w:val="single" w:sz="4" w:space="0" w:color="auto"/>
              <w:bottom w:val="dashed" w:sz="4" w:space="0" w:color="auto"/>
              <w:right w:val="nil"/>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81.7</w:t>
            </w:r>
          </w:p>
        </w:tc>
      </w:tr>
      <w:tr w:rsidR="0001590B" w:rsidRPr="00222A0C" w:rsidTr="00975075">
        <w:trPr>
          <w:jc w:val="center"/>
        </w:trPr>
        <w:tc>
          <w:tcPr>
            <w:tcW w:w="3000" w:type="dxa"/>
            <w:vMerge/>
            <w:tcBorders>
              <w:left w:val="nil"/>
              <w:right w:val="dashed" w:sz="4" w:space="0" w:color="auto"/>
            </w:tcBorders>
            <w:vAlign w:val="center"/>
          </w:tcPr>
          <w:p w:rsidR="0001590B" w:rsidRPr="00222A0C" w:rsidRDefault="0001590B" w:rsidP="0001590B">
            <w:pPr>
              <w:jc w:val="center"/>
              <w:rPr>
                <w:rFonts w:ascii="Arial" w:hAnsi="Arial" w:cs="Arial"/>
              </w:rPr>
            </w:pPr>
          </w:p>
        </w:tc>
        <w:tc>
          <w:tcPr>
            <w:tcW w:w="1835" w:type="dxa"/>
            <w:tcBorders>
              <w:top w:val="dashed" w:sz="4" w:space="0" w:color="auto"/>
              <w:left w:val="dashed" w:sz="4" w:space="0" w:color="auto"/>
              <w:bottom w:val="dashed" w:sz="4" w:space="0" w:color="auto"/>
              <w:right w:val="single" w:sz="4" w:space="0" w:color="auto"/>
            </w:tcBorders>
            <w:vAlign w:val="center"/>
          </w:tcPr>
          <w:p w:rsidR="0001590B" w:rsidRPr="00222A0C" w:rsidRDefault="0001590B" w:rsidP="0001590B">
            <w:pPr>
              <w:jc w:val="center"/>
              <w:rPr>
                <w:rFonts w:ascii="Arial" w:hAnsi="Arial" w:cs="Arial"/>
              </w:rPr>
            </w:pPr>
            <w:r w:rsidRPr="00222A0C">
              <w:rPr>
                <w:rFonts w:ascii="Arial" w:hAnsi="Arial" w:cs="Arial"/>
              </w:rPr>
              <w:t>5-9 year olds</w:t>
            </w:r>
          </w:p>
        </w:tc>
        <w:tc>
          <w:tcPr>
            <w:tcW w:w="1623" w:type="dxa"/>
            <w:tcBorders>
              <w:top w:val="dashed" w:sz="4" w:space="0" w:color="auto"/>
              <w:left w:val="single" w:sz="4" w:space="0" w:color="auto"/>
              <w:bottom w:val="dashed" w:sz="4" w:space="0" w:color="auto"/>
              <w:right w:val="single" w:sz="4"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60.0</w:t>
            </w:r>
          </w:p>
        </w:tc>
        <w:tc>
          <w:tcPr>
            <w:tcW w:w="1623" w:type="dxa"/>
            <w:tcBorders>
              <w:top w:val="dashed" w:sz="4" w:space="0" w:color="auto"/>
              <w:left w:val="single" w:sz="4" w:space="0" w:color="auto"/>
              <w:bottom w:val="dashed" w:sz="4" w:space="0" w:color="auto"/>
              <w:right w:val="single" w:sz="4"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83.6</w:t>
            </w:r>
          </w:p>
        </w:tc>
        <w:tc>
          <w:tcPr>
            <w:tcW w:w="1623" w:type="dxa"/>
            <w:tcBorders>
              <w:top w:val="dashed" w:sz="4" w:space="0" w:color="auto"/>
              <w:left w:val="single" w:sz="4" w:space="0" w:color="auto"/>
              <w:bottom w:val="dashed" w:sz="4" w:space="0" w:color="auto"/>
              <w:right w:val="nil"/>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87.1</w:t>
            </w:r>
          </w:p>
        </w:tc>
      </w:tr>
      <w:tr w:rsidR="0001590B" w:rsidRPr="00222A0C" w:rsidTr="00975075">
        <w:trPr>
          <w:jc w:val="center"/>
        </w:trPr>
        <w:tc>
          <w:tcPr>
            <w:tcW w:w="3000" w:type="dxa"/>
            <w:vMerge/>
            <w:tcBorders>
              <w:left w:val="nil"/>
              <w:bottom w:val="single" w:sz="4" w:space="0" w:color="auto"/>
              <w:right w:val="dashed" w:sz="4" w:space="0" w:color="auto"/>
            </w:tcBorders>
            <w:vAlign w:val="center"/>
          </w:tcPr>
          <w:p w:rsidR="0001590B" w:rsidRPr="00222A0C" w:rsidRDefault="0001590B" w:rsidP="0001590B">
            <w:pPr>
              <w:jc w:val="center"/>
              <w:rPr>
                <w:rFonts w:ascii="Arial" w:hAnsi="Arial" w:cs="Arial"/>
              </w:rPr>
            </w:pPr>
          </w:p>
        </w:tc>
        <w:tc>
          <w:tcPr>
            <w:tcW w:w="1835" w:type="dxa"/>
            <w:tcBorders>
              <w:top w:val="dashed" w:sz="4" w:space="0" w:color="auto"/>
              <w:left w:val="dashed" w:sz="4" w:space="0" w:color="auto"/>
              <w:bottom w:val="single" w:sz="4" w:space="0" w:color="auto"/>
              <w:right w:val="single" w:sz="4" w:space="0" w:color="auto"/>
            </w:tcBorders>
            <w:vAlign w:val="center"/>
          </w:tcPr>
          <w:p w:rsidR="0001590B" w:rsidRPr="00222A0C" w:rsidRDefault="0001590B" w:rsidP="0001590B">
            <w:pPr>
              <w:jc w:val="center"/>
              <w:rPr>
                <w:rFonts w:ascii="Arial" w:hAnsi="Arial" w:cs="Arial"/>
              </w:rPr>
            </w:pPr>
            <w:r w:rsidRPr="00222A0C">
              <w:rPr>
                <w:rFonts w:ascii="Arial" w:hAnsi="Arial" w:cs="Arial"/>
              </w:rPr>
              <w:t>10-14 year olds</w:t>
            </w:r>
          </w:p>
        </w:tc>
        <w:tc>
          <w:tcPr>
            <w:tcW w:w="1623" w:type="dxa"/>
            <w:tcBorders>
              <w:top w:val="dashed" w:sz="4" w:space="0" w:color="auto"/>
              <w:left w:val="single" w:sz="4" w:space="0" w:color="auto"/>
              <w:right w:val="single" w:sz="4"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86.0</w:t>
            </w:r>
          </w:p>
        </w:tc>
        <w:tc>
          <w:tcPr>
            <w:tcW w:w="1623" w:type="dxa"/>
            <w:tcBorders>
              <w:top w:val="dashed" w:sz="4" w:space="0" w:color="auto"/>
              <w:left w:val="single" w:sz="4" w:space="0" w:color="auto"/>
              <w:right w:val="single" w:sz="4"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94.0</w:t>
            </w:r>
          </w:p>
        </w:tc>
        <w:tc>
          <w:tcPr>
            <w:tcW w:w="1623" w:type="dxa"/>
            <w:tcBorders>
              <w:top w:val="dashed" w:sz="4" w:space="0" w:color="auto"/>
              <w:left w:val="single" w:sz="4" w:space="0" w:color="auto"/>
              <w:right w:val="nil"/>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95.8</w:t>
            </w:r>
          </w:p>
        </w:tc>
      </w:tr>
      <w:tr w:rsidR="0001590B" w:rsidRPr="00222A0C" w:rsidTr="00975075">
        <w:trPr>
          <w:jc w:val="center"/>
        </w:trPr>
        <w:tc>
          <w:tcPr>
            <w:tcW w:w="4835" w:type="dxa"/>
            <w:gridSpan w:val="2"/>
            <w:tcBorders>
              <w:left w:val="nil"/>
              <w:bottom w:val="single" w:sz="4" w:space="0" w:color="auto"/>
            </w:tcBorders>
            <w:vAlign w:val="center"/>
          </w:tcPr>
          <w:p w:rsidR="0001590B" w:rsidRPr="00222A0C" w:rsidRDefault="0001590B" w:rsidP="0001590B">
            <w:pPr>
              <w:jc w:val="center"/>
              <w:rPr>
                <w:rFonts w:ascii="Arial" w:hAnsi="Arial" w:cs="Arial"/>
              </w:rPr>
            </w:pPr>
            <w:r w:rsidRPr="00222A0C">
              <w:rPr>
                <w:rFonts w:ascii="Arial" w:hAnsi="Arial" w:cs="Arial"/>
              </w:rPr>
              <w:t>Duration of treatment session</w:t>
            </w:r>
          </w:p>
        </w:tc>
        <w:tc>
          <w:tcPr>
            <w:tcW w:w="1623" w:type="dxa"/>
            <w:tcBorders>
              <w:bottom w:val="single" w:sz="4"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1–4 Weeks</w:t>
            </w:r>
          </w:p>
        </w:tc>
        <w:tc>
          <w:tcPr>
            <w:tcW w:w="1623" w:type="dxa"/>
            <w:tcBorders>
              <w:bottom w:val="single" w:sz="4" w:space="0" w:color="auto"/>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1-3 Weeks</w:t>
            </w:r>
          </w:p>
        </w:tc>
        <w:tc>
          <w:tcPr>
            <w:tcW w:w="1623" w:type="dxa"/>
            <w:tcBorders>
              <w:bottom w:val="single" w:sz="4" w:space="0" w:color="auto"/>
              <w:right w:val="nil"/>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1-3 Weeks</w:t>
            </w:r>
          </w:p>
        </w:tc>
      </w:tr>
      <w:tr w:rsidR="0001590B" w:rsidRPr="00222A0C" w:rsidTr="00975075">
        <w:trPr>
          <w:jc w:val="center"/>
        </w:trPr>
        <w:tc>
          <w:tcPr>
            <w:tcW w:w="4835" w:type="dxa"/>
            <w:gridSpan w:val="2"/>
            <w:tcBorders>
              <w:left w:val="nil"/>
              <w:bottom w:val="nil"/>
            </w:tcBorders>
            <w:vAlign w:val="center"/>
          </w:tcPr>
          <w:p w:rsidR="0001590B" w:rsidRPr="00222A0C" w:rsidRDefault="0001590B" w:rsidP="0001590B">
            <w:pPr>
              <w:jc w:val="center"/>
              <w:rPr>
                <w:rFonts w:ascii="Arial" w:hAnsi="Arial" w:cs="Arial"/>
              </w:rPr>
            </w:pPr>
            <w:r w:rsidRPr="00222A0C">
              <w:rPr>
                <w:rFonts w:ascii="Arial" w:hAnsi="Arial" w:cs="Arial"/>
              </w:rPr>
              <w:t>Delay between screening and treatment</w:t>
            </w:r>
          </w:p>
        </w:tc>
        <w:tc>
          <w:tcPr>
            <w:tcW w:w="1623" w:type="dxa"/>
            <w:tcBorders>
              <w:bottom w:val="nil"/>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0-9 Weeks</w:t>
            </w:r>
          </w:p>
        </w:tc>
        <w:tc>
          <w:tcPr>
            <w:tcW w:w="1623" w:type="dxa"/>
            <w:tcBorders>
              <w:bottom w:val="nil"/>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0-2 Weeks</w:t>
            </w:r>
          </w:p>
        </w:tc>
        <w:tc>
          <w:tcPr>
            <w:tcW w:w="1623" w:type="dxa"/>
            <w:tcBorders>
              <w:bottom w:val="nil"/>
              <w:right w:val="nil"/>
            </w:tcBorders>
            <w:shd w:val="clear" w:color="auto" w:fill="auto"/>
            <w:vAlign w:val="center"/>
          </w:tcPr>
          <w:p w:rsidR="0001590B" w:rsidRPr="00222A0C" w:rsidRDefault="0001590B" w:rsidP="0001590B">
            <w:pPr>
              <w:jc w:val="center"/>
              <w:rPr>
                <w:rFonts w:ascii="Arial" w:hAnsi="Arial" w:cs="Arial"/>
              </w:rPr>
            </w:pPr>
            <w:r w:rsidRPr="00222A0C">
              <w:rPr>
                <w:rFonts w:ascii="Arial" w:hAnsi="Arial" w:cs="Arial"/>
              </w:rPr>
              <w:t>1-9 Weeks</w:t>
            </w:r>
          </w:p>
        </w:tc>
      </w:tr>
    </w:tbl>
    <w:p w:rsidR="0001590B" w:rsidRPr="00222A0C" w:rsidRDefault="0001590B" w:rsidP="00551B02">
      <w:pPr>
        <w:rPr>
          <w:rFonts w:ascii="Arial" w:hAnsi="Arial" w:cs="Arial"/>
        </w:rPr>
      </w:pPr>
    </w:p>
    <w:sectPr w:rsidR="0001590B" w:rsidRPr="00222A0C" w:rsidSect="00473ECB">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30D" w:rsidRDefault="000D230D" w:rsidP="00F41E6A">
      <w:pPr>
        <w:spacing w:after="0" w:line="240" w:lineRule="auto"/>
      </w:pPr>
      <w:r>
        <w:separator/>
      </w:r>
    </w:p>
  </w:endnote>
  <w:endnote w:type="continuationSeparator" w:id="0">
    <w:p w:rsidR="000D230D" w:rsidRDefault="000D230D" w:rsidP="00F4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C0" w:rsidRDefault="00EB4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30D" w:rsidRDefault="000D230D" w:rsidP="00F41E6A">
      <w:pPr>
        <w:spacing w:after="0" w:line="240" w:lineRule="auto"/>
      </w:pPr>
      <w:r>
        <w:separator/>
      </w:r>
    </w:p>
  </w:footnote>
  <w:footnote w:type="continuationSeparator" w:id="0">
    <w:p w:rsidR="000D230D" w:rsidRDefault="000D230D" w:rsidP="00F41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65E70"/>
    <w:multiLevelType w:val="hybridMultilevel"/>
    <w:tmpl w:val="30E29AA8"/>
    <w:lvl w:ilvl="0" w:tplc="F57C1D8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9E172AF"/>
    <w:multiLevelType w:val="hybridMultilevel"/>
    <w:tmpl w:val="002CFDAC"/>
    <w:lvl w:ilvl="0" w:tplc="63AE9106">
      <w:start w:val="1"/>
      <w:numFmt w:val="lowerLetter"/>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2vpeefwrxssr6edetnvaxsnxpszt5fzxfdp&quot;&gt;Report EndNote&lt;record-ids&gt;&lt;item&gt;2&lt;/item&gt;&lt;item&gt;30&lt;/item&gt;&lt;/record-ids&gt;&lt;/item&gt;&lt;/Libraries&gt;"/>
  </w:docVars>
  <w:rsids>
    <w:rsidRoot w:val="00085610"/>
    <w:rsid w:val="00000D26"/>
    <w:rsid w:val="0001590B"/>
    <w:rsid w:val="000204DD"/>
    <w:rsid w:val="00023B37"/>
    <w:rsid w:val="000435ED"/>
    <w:rsid w:val="00071A07"/>
    <w:rsid w:val="00085610"/>
    <w:rsid w:val="00092636"/>
    <w:rsid w:val="000D230D"/>
    <w:rsid w:val="000F0199"/>
    <w:rsid w:val="000F2A75"/>
    <w:rsid w:val="000F7073"/>
    <w:rsid w:val="00106795"/>
    <w:rsid w:val="00116F57"/>
    <w:rsid w:val="0012059D"/>
    <w:rsid w:val="00133F42"/>
    <w:rsid w:val="001577FE"/>
    <w:rsid w:val="001920E4"/>
    <w:rsid w:val="001B5961"/>
    <w:rsid w:val="001D6F9D"/>
    <w:rsid w:val="001E40F2"/>
    <w:rsid w:val="00222A0C"/>
    <w:rsid w:val="00266A8B"/>
    <w:rsid w:val="0026746A"/>
    <w:rsid w:val="00292CB0"/>
    <w:rsid w:val="002A6692"/>
    <w:rsid w:val="002C1FDC"/>
    <w:rsid w:val="002C790B"/>
    <w:rsid w:val="002E2318"/>
    <w:rsid w:val="00315099"/>
    <w:rsid w:val="003347E5"/>
    <w:rsid w:val="00342B8F"/>
    <w:rsid w:val="003439FD"/>
    <w:rsid w:val="003547FD"/>
    <w:rsid w:val="00393CDA"/>
    <w:rsid w:val="003B4948"/>
    <w:rsid w:val="003F6B2D"/>
    <w:rsid w:val="004061F2"/>
    <w:rsid w:val="0043399A"/>
    <w:rsid w:val="00440A4E"/>
    <w:rsid w:val="00473ECB"/>
    <w:rsid w:val="004851AF"/>
    <w:rsid w:val="004A3648"/>
    <w:rsid w:val="004D036A"/>
    <w:rsid w:val="004D3BD0"/>
    <w:rsid w:val="004E1BAA"/>
    <w:rsid w:val="00551B02"/>
    <w:rsid w:val="00574B8F"/>
    <w:rsid w:val="00580F37"/>
    <w:rsid w:val="005867FE"/>
    <w:rsid w:val="005A37A2"/>
    <w:rsid w:val="005B1BD7"/>
    <w:rsid w:val="005C6A4D"/>
    <w:rsid w:val="005D50C8"/>
    <w:rsid w:val="00623738"/>
    <w:rsid w:val="00657679"/>
    <w:rsid w:val="00691198"/>
    <w:rsid w:val="006A587B"/>
    <w:rsid w:val="006D082F"/>
    <w:rsid w:val="006D4D9A"/>
    <w:rsid w:val="006E0F2F"/>
    <w:rsid w:val="007039CB"/>
    <w:rsid w:val="00713ADA"/>
    <w:rsid w:val="007541F8"/>
    <w:rsid w:val="00760F3E"/>
    <w:rsid w:val="007913F0"/>
    <w:rsid w:val="007A31B2"/>
    <w:rsid w:val="007C53A9"/>
    <w:rsid w:val="007C5B07"/>
    <w:rsid w:val="007D1EFE"/>
    <w:rsid w:val="007F114C"/>
    <w:rsid w:val="007F4836"/>
    <w:rsid w:val="008A65EE"/>
    <w:rsid w:val="00902291"/>
    <w:rsid w:val="00904EBC"/>
    <w:rsid w:val="00943D0C"/>
    <w:rsid w:val="009706F7"/>
    <w:rsid w:val="00975075"/>
    <w:rsid w:val="009A56F7"/>
    <w:rsid w:val="009A628B"/>
    <w:rsid w:val="009C42F1"/>
    <w:rsid w:val="009E01CC"/>
    <w:rsid w:val="009E2018"/>
    <w:rsid w:val="00A02A75"/>
    <w:rsid w:val="00A04B69"/>
    <w:rsid w:val="00A12C32"/>
    <w:rsid w:val="00A32E16"/>
    <w:rsid w:val="00A33DDA"/>
    <w:rsid w:val="00A51434"/>
    <w:rsid w:val="00A831CE"/>
    <w:rsid w:val="00A8431F"/>
    <w:rsid w:val="00A9516F"/>
    <w:rsid w:val="00B16908"/>
    <w:rsid w:val="00B42921"/>
    <w:rsid w:val="00B53B4A"/>
    <w:rsid w:val="00B63536"/>
    <w:rsid w:val="00B64779"/>
    <w:rsid w:val="00B84638"/>
    <w:rsid w:val="00BC16E7"/>
    <w:rsid w:val="00BE6C89"/>
    <w:rsid w:val="00C01465"/>
    <w:rsid w:val="00C10567"/>
    <w:rsid w:val="00C17AED"/>
    <w:rsid w:val="00C34767"/>
    <w:rsid w:val="00C82965"/>
    <w:rsid w:val="00CB15DE"/>
    <w:rsid w:val="00CC1761"/>
    <w:rsid w:val="00CC67AC"/>
    <w:rsid w:val="00CD4AE7"/>
    <w:rsid w:val="00CE6605"/>
    <w:rsid w:val="00D45113"/>
    <w:rsid w:val="00D54FF0"/>
    <w:rsid w:val="00D7152F"/>
    <w:rsid w:val="00E27880"/>
    <w:rsid w:val="00E32C55"/>
    <w:rsid w:val="00E33BA4"/>
    <w:rsid w:val="00E61332"/>
    <w:rsid w:val="00E70B44"/>
    <w:rsid w:val="00E749FE"/>
    <w:rsid w:val="00E77767"/>
    <w:rsid w:val="00E8537E"/>
    <w:rsid w:val="00EB4AC0"/>
    <w:rsid w:val="00ED354C"/>
    <w:rsid w:val="00EE39FD"/>
    <w:rsid w:val="00F173F4"/>
    <w:rsid w:val="00F2208C"/>
    <w:rsid w:val="00F41E6A"/>
    <w:rsid w:val="00F5143A"/>
    <w:rsid w:val="00F55AF6"/>
    <w:rsid w:val="00F70BAF"/>
    <w:rsid w:val="00F758BA"/>
    <w:rsid w:val="00FB19AF"/>
    <w:rsid w:val="00FD6EA5"/>
    <w:rsid w:val="00FE4465"/>
    <w:rsid w:val="00FE6377"/>
    <w:rsid w:val="00FF5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89035-D9AE-4AC5-BE6B-6DF36C94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10"/>
  </w:style>
  <w:style w:type="paragraph" w:styleId="Heading3">
    <w:name w:val="heading 3"/>
    <w:basedOn w:val="Normal"/>
    <w:next w:val="Normal"/>
    <w:link w:val="Heading3Char"/>
    <w:uiPriority w:val="9"/>
    <w:unhideWhenUsed/>
    <w:qFormat/>
    <w:rsid w:val="000856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561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85610"/>
    <w:pPr>
      <w:ind w:left="720"/>
      <w:contextualSpacing/>
    </w:pPr>
  </w:style>
  <w:style w:type="paragraph" w:styleId="Caption">
    <w:name w:val="caption"/>
    <w:basedOn w:val="Normal"/>
    <w:next w:val="Normal"/>
    <w:uiPriority w:val="35"/>
    <w:unhideWhenUsed/>
    <w:qFormat/>
    <w:rsid w:val="00085610"/>
    <w:pPr>
      <w:spacing w:line="240" w:lineRule="auto"/>
    </w:pPr>
    <w:rPr>
      <w:b/>
      <w:bCs/>
      <w:color w:val="4F81BD" w:themeColor="accent1"/>
      <w:sz w:val="18"/>
      <w:szCs w:val="18"/>
    </w:rPr>
  </w:style>
  <w:style w:type="table" w:styleId="TableGrid">
    <w:name w:val="Table Grid"/>
    <w:basedOn w:val="TableNormal"/>
    <w:uiPriority w:val="59"/>
    <w:rsid w:val="009E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CC"/>
    <w:rPr>
      <w:rFonts w:ascii="Tahoma" w:hAnsi="Tahoma" w:cs="Tahoma"/>
      <w:sz w:val="16"/>
      <w:szCs w:val="16"/>
    </w:rPr>
  </w:style>
  <w:style w:type="paragraph" w:styleId="Header">
    <w:name w:val="header"/>
    <w:basedOn w:val="Normal"/>
    <w:link w:val="HeaderChar"/>
    <w:uiPriority w:val="99"/>
    <w:unhideWhenUsed/>
    <w:rsid w:val="00F41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E6A"/>
  </w:style>
  <w:style w:type="paragraph" w:styleId="Footer">
    <w:name w:val="footer"/>
    <w:basedOn w:val="Normal"/>
    <w:link w:val="FooterChar"/>
    <w:uiPriority w:val="99"/>
    <w:unhideWhenUsed/>
    <w:rsid w:val="00F41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E6A"/>
  </w:style>
  <w:style w:type="paragraph" w:customStyle="1" w:styleId="Default">
    <w:name w:val="Default"/>
    <w:rsid w:val="00CC176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749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9FE"/>
    <w:rPr>
      <w:sz w:val="20"/>
      <w:szCs w:val="20"/>
    </w:rPr>
  </w:style>
  <w:style w:type="character" w:styleId="FootnoteReference">
    <w:name w:val="footnote reference"/>
    <w:basedOn w:val="DefaultParagraphFont"/>
    <w:uiPriority w:val="99"/>
    <w:semiHidden/>
    <w:unhideWhenUsed/>
    <w:rsid w:val="00E749FE"/>
    <w:rPr>
      <w:vertAlign w:val="superscript"/>
    </w:rPr>
  </w:style>
  <w:style w:type="paragraph" w:styleId="EndnoteText">
    <w:name w:val="endnote text"/>
    <w:basedOn w:val="Normal"/>
    <w:link w:val="EndnoteTextChar"/>
    <w:uiPriority w:val="99"/>
    <w:semiHidden/>
    <w:unhideWhenUsed/>
    <w:rsid w:val="00EE39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39FD"/>
    <w:rPr>
      <w:sz w:val="20"/>
      <w:szCs w:val="20"/>
    </w:rPr>
  </w:style>
  <w:style w:type="character" w:styleId="EndnoteReference">
    <w:name w:val="endnote reference"/>
    <w:basedOn w:val="DefaultParagraphFont"/>
    <w:uiPriority w:val="99"/>
    <w:semiHidden/>
    <w:unhideWhenUsed/>
    <w:rsid w:val="00EE39FD"/>
    <w:rPr>
      <w:vertAlign w:val="superscript"/>
    </w:rPr>
  </w:style>
  <w:style w:type="character" w:styleId="Hyperlink">
    <w:name w:val="Hyperlink"/>
    <w:basedOn w:val="DefaultParagraphFont"/>
    <w:uiPriority w:val="99"/>
    <w:unhideWhenUsed/>
    <w:rsid w:val="007D1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9DFA-3FAD-40EA-9D08-6E9C91F7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Shattock</dc:creator>
  <cp:lastModifiedBy>Caitlin McComb</cp:lastModifiedBy>
  <cp:revision>2</cp:revision>
  <dcterms:created xsi:type="dcterms:W3CDTF">2015-03-23T18:58:00Z</dcterms:created>
  <dcterms:modified xsi:type="dcterms:W3CDTF">2015-03-23T18:58:00Z</dcterms:modified>
</cp:coreProperties>
</file>