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9A" w:rsidRPr="00B64F9C" w:rsidRDefault="00B6329A" w:rsidP="00B6329A">
      <w:pPr>
        <w:spacing w:after="0" w:line="480" w:lineRule="auto"/>
        <w:rPr>
          <w:sz w:val="24"/>
          <w:lang w:val="en-US"/>
        </w:rPr>
      </w:pPr>
      <w:r w:rsidRPr="00B64F9C">
        <w:rPr>
          <w:b/>
          <w:sz w:val="24"/>
          <w:lang w:val="en-US"/>
        </w:rPr>
        <w:t xml:space="preserve">Table S1: </w:t>
      </w:r>
      <w:r w:rsidRPr="00B64F9C">
        <w:rPr>
          <w:sz w:val="24"/>
          <w:lang w:val="en-US"/>
        </w:rPr>
        <w:t>List of primer and cDNA sequences and the resulting expression vector</w:t>
      </w:r>
    </w:p>
    <w:tbl>
      <w:tblPr>
        <w:tblW w:w="0" w:type="auto"/>
        <w:tblLook w:val="00A0"/>
      </w:tblPr>
      <w:tblGrid>
        <w:gridCol w:w="2475"/>
        <w:gridCol w:w="1494"/>
        <w:gridCol w:w="4855"/>
        <w:gridCol w:w="1260"/>
        <w:gridCol w:w="2090"/>
        <w:gridCol w:w="2046"/>
      </w:tblGrid>
      <w:tr w:rsidR="00B6329A" w:rsidRPr="00B64F9C" w:rsidTr="00074FFB">
        <w:tc>
          <w:tcPr>
            <w:tcW w:w="2475" w:type="dxa"/>
            <w:tcBorders>
              <w:bottom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Trypanosomal vector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Primer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Sequence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cDNA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Origin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Reference</w:t>
            </w:r>
          </w:p>
        </w:tc>
      </w:tr>
      <w:tr w:rsidR="00B6329A" w:rsidRPr="00B64F9C" w:rsidTr="00074FFB">
        <w:tc>
          <w:tcPr>
            <w:tcW w:w="2475" w:type="dxa"/>
            <w:tcBorders>
              <w:top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pHD CBR</w:t>
            </w: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CBR-F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i/>
                <w:lang w:val="en-US"/>
              </w:rPr>
              <w:t>AACTGCAACG</w:t>
            </w:r>
            <w:r w:rsidRPr="00B64F9C">
              <w:rPr>
                <w:b/>
                <w:lang w:val="en-US"/>
              </w:rPr>
              <w:t>AAGCTT</w:t>
            </w:r>
            <w:r w:rsidRPr="00B64F9C">
              <w:rPr>
                <w:u w:val="single"/>
                <w:lang w:val="en-US"/>
              </w:rPr>
              <w:t>ATGGTAAAGCGTGAGAAAAAT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</w:pPr>
            <w:r w:rsidRPr="00B64F9C">
              <w:t>CBR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proofErr w:type="spellStart"/>
            <w:r w:rsidRPr="00B64F9C">
              <w:t>pCBR</w:t>
            </w:r>
            <w:proofErr w:type="spellEnd"/>
            <w:r w:rsidRPr="00B64F9C">
              <w:t>-Basic Vector</w:t>
            </w:r>
          </w:p>
        </w:tc>
        <w:tc>
          <w:tcPr>
            <w:tcW w:w="2046" w:type="dxa"/>
            <w:tcBorders>
              <w:top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</w:pPr>
            <w:r w:rsidRPr="00B64F9C">
              <w:t>Promega</w:t>
            </w:r>
          </w:p>
        </w:tc>
      </w:tr>
      <w:tr w:rsidR="00B6329A" w:rsidRPr="00B64F9C" w:rsidTr="00074FFB">
        <w:tc>
          <w:tcPr>
            <w:tcW w:w="2475" w:type="dxa"/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1494" w:type="dxa"/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CBR-R</w:t>
            </w:r>
          </w:p>
        </w:tc>
        <w:tc>
          <w:tcPr>
            <w:tcW w:w="4855" w:type="dxa"/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i/>
                <w:lang w:val="en-US"/>
              </w:rPr>
              <w:t>TAAATGGGCA</w:t>
            </w:r>
            <w:r w:rsidRPr="00B64F9C">
              <w:rPr>
                <w:b/>
                <w:lang w:val="en-US"/>
              </w:rPr>
              <w:t>GGATCC</w:t>
            </w:r>
            <w:r w:rsidRPr="00B64F9C">
              <w:rPr>
                <w:u w:val="single"/>
                <w:lang w:val="en-US"/>
              </w:rPr>
              <w:t>CTAACCGCCGGCCTT</w:t>
            </w:r>
          </w:p>
        </w:tc>
        <w:tc>
          <w:tcPr>
            <w:tcW w:w="1260" w:type="dxa"/>
          </w:tcPr>
          <w:p w:rsidR="00B6329A" w:rsidRPr="00B64F9C" w:rsidRDefault="00B6329A" w:rsidP="00074FFB">
            <w:pPr>
              <w:spacing w:after="0" w:line="480" w:lineRule="auto"/>
            </w:pPr>
            <w:r w:rsidRPr="00B64F9C">
              <w:t>CBR</w:t>
            </w:r>
          </w:p>
        </w:tc>
        <w:tc>
          <w:tcPr>
            <w:tcW w:w="2090" w:type="dxa"/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proofErr w:type="spellStart"/>
            <w:r w:rsidRPr="00B64F9C">
              <w:t>pCBR</w:t>
            </w:r>
            <w:proofErr w:type="spellEnd"/>
            <w:r w:rsidRPr="00B64F9C">
              <w:t>-Basic Vector</w:t>
            </w:r>
          </w:p>
        </w:tc>
        <w:tc>
          <w:tcPr>
            <w:tcW w:w="2046" w:type="dxa"/>
          </w:tcPr>
          <w:p w:rsidR="00B6329A" w:rsidRPr="00B64F9C" w:rsidRDefault="00B6329A" w:rsidP="00074FFB">
            <w:pPr>
              <w:spacing w:after="0" w:line="480" w:lineRule="auto"/>
            </w:pPr>
            <w:r w:rsidRPr="00B64F9C">
              <w:t>Promega</w:t>
            </w:r>
          </w:p>
        </w:tc>
      </w:tr>
      <w:tr w:rsidR="00B6329A" w:rsidRPr="008225F3" w:rsidTr="00074FFB">
        <w:tc>
          <w:tcPr>
            <w:tcW w:w="2475" w:type="dxa"/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pHD P9</w:t>
            </w:r>
          </w:p>
        </w:tc>
        <w:tc>
          <w:tcPr>
            <w:tcW w:w="1494" w:type="dxa"/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P9-F</w:t>
            </w:r>
          </w:p>
        </w:tc>
        <w:tc>
          <w:tcPr>
            <w:tcW w:w="4855" w:type="dxa"/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i/>
              </w:rPr>
              <w:t>AACTGCAACG</w:t>
            </w:r>
            <w:r w:rsidRPr="00B64F9C">
              <w:rPr>
                <w:b/>
              </w:rPr>
              <w:t>AAGCTT</w:t>
            </w:r>
            <w:r w:rsidRPr="00B64F9C">
              <w:rPr>
                <w:u w:val="single"/>
              </w:rPr>
              <w:t>ATGGAGGAC</w:t>
            </w:r>
          </w:p>
        </w:tc>
        <w:tc>
          <w:tcPr>
            <w:tcW w:w="1260" w:type="dxa"/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PpyRE9</w:t>
            </w:r>
          </w:p>
        </w:tc>
        <w:tc>
          <w:tcPr>
            <w:tcW w:w="2090" w:type="dxa"/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pGEX-6P.2PpyRE9</w:t>
            </w:r>
          </w:p>
        </w:tc>
        <w:tc>
          <w:tcPr>
            <w:tcW w:w="2046" w:type="dxa"/>
          </w:tcPr>
          <w:p w:rsidR="00B6329A" w:rsidRPr="008225F3" w:rsidRDefault="00B6329A" w:rsidP="00074FFB">
            <w:pPr>
              <w:spacing w:after="0" w:line="480" w:lineRule="auto"/>
              <w:rPr>
                <w:lang w:val="fr-FR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REFMGR.CITE &lt;Refman&gt;&lt;Cite&gt;&lt;Author&gt;Branchini&lt;/Author&gt;&lt;Year&gt;2010&lt;/Year&gt;&lt;RecNum&gt;11871&lt;/RecNum&gt;&lt;IDText&gt;Red-emitting luciferases for bioluminescence reporter and imaging applications&lt;/IDText&gt;&lt;MDL Ref_Type="Journal"&gt;&lt;Ref_Type&gt;Journal&lt;/Ref_Type&gt;&lt;Ref_ID&gt;11871&lt;/Ref_ID&gt;&lt;Title_Primary&gt;Red-emitting luciferases for bioluminescence reporter and imaging applications&lt;/Title_Primary&gt;&lt;Authors_Primary&gt;Branchini,B.R.&lt;/Authors_Primary&gt;&lt;Authors_Primary&gt;Ablamsky,D.M.&lt;/Authors_Primary&gt;&lt;Authors_Primary&gt;Davis,A.L.&lt;/Authors_Primary&gt;&lt;Authors_Primary&gt;Southworth,T.L.&lt;/Authors_Primary&gt;&lt;Authors_Primary&gt;Butler,B.&lt;/Authors_Primary&gt;&lt;Authors_Primary&gt;Fan,F.&lt;/Authors_Primary&gt;&lt;Authors_Primary&gt;Jathoul,A.P.&lt;/Authors_Primary&gt;&lt;Authors_Primary&gt;Pule,M.A.&lt;/Authors_Primary&gt;&lt;Date_Primary&gt;2010/1/15&lt;/Date_Primary&gt;&lt;Keywords&gt;Animals&lt;/Keywords&gt;&lt;Keywords&gt;Cell Line&lt;/Keywords&gt;&lt;Keywords&gt;Genes,Reporter&lt;/Keywords&gt;&lt;Keywords&gt;Humans&lt;/Keywords&gt;&lt;Keywords&gt;Kinetics&lt;/Keywords&gt;&lt;Keywords&gt;Luciferases,Firefly&lt;/Keywords&gt;&lt;Keywords&gt;GENETICS&lt;/Keywords&gt;&lt;Keywords&gt;METABOLISM&lt;/Keywords&gt;&lt;Keywords&gt;Luminescent Agents&lt;/Keywords&gt;&lt;Keywords&gt;Luminescent Measurements&lt;/Keywords&gt;&lt;Keywords&gt;methods&lt;/Keywords&gt;&lt;Keywords&gt;Mutagenesis,Site-Directed&lt;/Keywords&gt;&lt;Keywords&gt;Recombinant Proteins&lt;/Keywords&gt;&lt;Keywords&gt;TEMPERATURE&lt;/Keywords&gt;&lt;Reprint&gt;Not in File&lt;/Reprint&gt;&lt;Start_Page&gt;290&lt;/Start_Page&gt;&lt;End_Page&gt;297&lt;/End_Page&gt;&lt;Periodical&gt;Anal.Biochem.&lt;/Periodical&gt;&lt;Volume&gt;396&lt;/Volume&gt;&lt;Issue&gt;2&lt;/Issue&gt;&lt;Misc_3&gt;S0003-2697(09)00632-0 [pii];10.1016/j.ab.2009.09.009 [doi]&lt;/Misc_3&gt;&lt;Address&gt;Department of Chemistry, Connecticut College, New London, CT 06320, USA. brbra@conncoll.edu&lt;/Address&gt;&lt;Web_URL&gt;PM:19748472&lt;/Web_URL&gt;&lt;ZZ_JournalFull&gt;&lt;f name="System"&gt;Analytical Biochemistry&lt;/f&gt;&lt;/ZZ_JournalFull&gt;&lt;ZZ_JournalStdAbbrev&gt;&lt;f name="System"&gt;Anal.Biochem.&lt;/f&gt;&lt;/ZZ_JournalStdAbbrev&gt;&lt;ZZ_JournalUser1&gt;&lt;f name="System"&gt;7&lt;/f&gt;&lt;/ZZ_JournalUser1&gt;&lt;ZZ_WorkformID&gt;1&lt;/ZZ_WorkformID&gt;&lt;/MDL&gt;&lt;/Cite&gt;&lt;/Refman&gt;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[37]</w:t>
            </w:r>
            <w:r>
              <w:rPr>
                <w:lang w:val="fr-FR"/>
              </w:rPr>
              <w:fldChar w:fldCharType="end"/>
            </w:r>
          </w:p>
        </w:tc>
      </w:tr>
      <w:tr w:rsidR="00B6329A" w:rsidRPr="00B64F9C" w:rsidTr="00074FFB">
        <w:tc>
          <w:tcPr>
            <w:tcW w:w="2475" w:type="dxa"/>
            <w:tcBorders>
              <w:bottom w:val="single" w:sz="4" w:space="0" w:color="auto"/>
            </w:tcBorders>
          </w:tcPr>
          <w:p w:rsidR="00B6329A" w:rsidRPr="008225F3" w:rsidRDefault="00B6329A" w:rsidP="00074FFB">
            <w:pPr>
              <w:spacing w:after="0" w:line="480" w:lineRule="auto"/>
              <w:rPr>
                <w:lang w:val="fr-FR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P9-R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i/>
              </w:rPr>
              <w:t>TAAATGGGCA</w:t>
            </w:r>
            <w:r w:rsidRPr="00B64F9C">
              <w:rPr>
                <w:b/>
              </w:rPr>
              <w:t>GGATCC</w:t>
            </w:r>
            <w:r w:rsidRPr="00B64F9C">
              <w:rPr>
                <w:u w:val="single"/>
              </w:rPr>
              <w:t>TCAGATCTTG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PpyRE9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 w:rsidRPr="00B64F9C">
              <w:rPr>
                <w:lang w:val="en-US"/>
              </w:rPr>
              <w:t>pGEX-6P.2PpyRE9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B6329A" w:rsidRPr="00B64F9C" w:rsidRDefault="00B6329A" w:rsidP="00074FFB">
            <w:pPr>
              <w:spacing w:after="0" w:line="480" w:lineRule="auto"/>
              <w:rPr>
                <w:lang w:val="en-US"/>
              </w:rPr>
            </w:pP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ADDIN REFMGR.CITE &lt;Refman&gt;&lt;Cite&gt;&lt;Author&gt;Branchini&lt;/Author&gt;&lt;Year&gt;2010&lt;/Year&gt;&lt;RecNum&gt;11871&lt;/RecNum&gt;&lt;IDText&gt;Red-emitting luciferases for bioluminescence reporter and imaging applications&lt;/IDText&gt;&lt;MDL Ref_Type="Journal"&gt;&lt;Ref_Type&gt;Journal&lt;/Ref_Type&gt;&lt;Ref_ID&gt;11871&lt;/Ref_ID&gt;&lt;Title_Primary&gt;Red-emitting luciferases for bioluminescence reporter and imaging applications&lt;/Title_Primary&gt;&lt;Authors_Primary&gt;Branchini,B.R.&lt;/Authors_Primary&gt;&lt;Authors_Primary&gt;Ablamsky,D.M.&lt;/Authors_Primary&gt;&lt;Authors_Primary&gt;Davis,A.L.&lt;/Authors_Primary&gt;&lt;Authors_Primary&gt;Southworth,T.L.&lt;/Authors_Primary&gt;&lt;Authors_Primary&gt;Butler,B.&lt;/Authors_Primary&gt;&lt;Authors_Primary&gt;Fan,F.&lt;/Authors_Primary&gt;&lt;Authors_Primary&gt;Jathoul,A.P.&lt;/Authors_Primary&gt;&lt;Authors_Primary&gt;Pule,M.A.&lt;/Authors_Primary&gt;&lt;Date_Primary&gt;2010/1/15&lt;/Date_Primary&gt;&lt;Keywords&gt;Animals&lt;/Keywords&gt;&lt;Keywords&gt;Cell Line&lt;/Keywords&gt;&lt;Keywords&gt;Genes,Reporter&lt;/Keywords&gt;&lt;Keywords&gt;Humans&lt;/Keywords&gt;&lt;Keywords&gt;Kinetics&lt;/Keywords&gt;&lt;Keywords&gt;Luciferases,Firefly&lt;/Keywords&gt;&lt;Keywords&gt;GENETICS&lt;/Keywords&gt;&lt;Keywords&gt;METABOLISM&lt;/Keywords&gt;&lt;Keywords&gt;Luminescent Agents&lt;/Keywords&gt;&lt;Keywords&gt;Luminescent Measurements&lt;/Keywords&gt;&lt;Keywords&gt;methods&lt;/Keywords&gt;&lt;Keywords&gt;Mutagenesis,Site-Directed&lt;/Keywords&gt;&lt;Keywords&gt;Recombinant Proteins&lt;/Keywords&gt;&lt;Keywords&gt;TEMPERATURE&lt;/Keywords&gt;&lt;Reprint&gt;Not in File&lt;/Reprint&gt;&lt;Start_Page&gt;290&lt;/Start_Page&gt;&lt;End_Page&gt;297&lt;/End_Page&gt;&lt;Periodical&gt;Anal.Biochem.&lt;/Periodical&gt;&lt;Volume&gt;396&lt;/Volume&gt;&lt;Issue&gt;2&lt;/Issue&gt;&lt;Misc_3&gt;S0003-2697(09)00632-0 [pii];10.1016/j.ab.2009.09.009 [doi]&lt;/Misc_3&gt;&lt;Address&gt;Department of Chemistry, Connecticut College, New London, CT 06320, USA. brbra@conncoll.edu&lt;/Address&gt;&lt;Web_URL&gt;PM:19748472&lt;/Web_URL&gt;&lt;ZZ_JournalFull&gt;&lt;f name="System"&gt;Analytical Biochemistry&lt;/f&gt;&lt;/ZZ_JournalFull&gt;&lt;ZZ_JournalStdAbbrev&gt;&lt;f name="System"&gt;Anal.Biochem.&lt;/f&gt;&lt;/ZZ_JournalStdAbbrev&gt;&lt;ZZ_JournalUser1&gt;&lt;f name="System"&gt;7&lt;/f&gt;&lt;/ZZ_JournalUser1&gt;&lt;ZZ_WorkformID&gt;1&lt;/ZZ_WorkformID&gt;&lt;/MDL&gt;&lt;/Cite&gt;&lt;/Refman&gt;</w:instrText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[37]</w:t>
            </w:r>
            <w:r>
              <w:rPr>
                <w:lang w:val="fr-FR"/>
              </w:rPr>
              <w:fldChar w:fldCharType="end"/>
            </w:r>
          </w:p>
        </w:tc>
      </w:tr>
    </w:tbl>
    <w:p w:rsidR="00B6329A" w:rsidRPr="00B64F9C" w:rsidRDefault="00B6329A" w:rsidP="00B6329A">
      <w:r w:rsidRPr="00B64F9C">
        <w:t>Italic: vector specific sequence. Bold: restriction site. Underlined: reporter specific sequence</w:t>
      </w:r>
    </w:p>
    <w:p w:rsidR="00EE354B" w:rsidRDefault="00B6329A"/>
    <w:sectPr w:rsidR="00EE354B" w:rsidSect="00B632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329A"/>
    <w:rsid w:val="006F1E58"/>
    <w:rsid w:val="00A42BB0"/>
    <w:rsid w:val="00B6329A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29A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Van Reet</dc:creator>
  <cp:lastModifiedBy>Nick Van Reet</cp:lastModifiedBy>
  <cp:revision>1</cp:revision>
  <dcterms:created xsi:type="dcterms:W3CDTF">2014-06-05T07:08:00Z</dcterms:created>
  <dcterms:modified xsi:type="dcterms:W3CDTF">2014-06-05T07:14:00Z</dcterms:modified>
</cp:coreProperties>
</file>