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6" w:rsidRPr="00710301" w:rsidRDefault="00A83286" w:rsidP="00A83286">
      <w:pPr>
        <w:spacing w:before="120" w:after="120"/>
        <w:jc w:val="both"/>
        <w:rPr>
          <w:rFonts w:ascii="Arial" w:hAnsi="Arial" w:cs="Arial"/>
          <w:szCs w:val="22"/>
        </w:rPr>
      </w:pPr>
      <w:r w:rsidRPr="00710301">
        <w:rPr>
          <w:rFonts w:ascii="Arial" w:hAnsi="Arial" w:cs="Arial"/>
          <w:b/>
          <w:szCs w:val="22"/>
        </w:rPr>
        <w:t xml:space="preserve">Table </w:t>
      </w:r>
      <w:r>
        <w:rPr>
          <w:rFonts w:ascii="Arial" w:hAnsi="Arial" w:cs="Arial"/>
          <w:b/>
          <w:szCs w:val="22"/>
        </w:rPr>
        <w:t>S</w:t>
      </w:r>
      <w:r w:rsidR="00F5074A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.</w:t>
      </w:r>
      <w:r w:rsidRPr="00710301">
        <w:rPr>
          <w:rFonts w:ascii="Arial" w:hAnsi="Arial" w:cs="Arial"/>
          <w:b/>
          <w:szCs w:val="22"/>
        </w:rPr>
        <w:t xml:space="preserve"> </w:t>
      </w:r>
      <w:proofErr w:type="gramStart"/>
      <w:r w:rsidRPr="00B145D8">
        <w:rPr>
          <w:rFonts w:ascii="Arial" w:hAnsi="Arial" w:cs="Arial"/>
          <w:szCs w:val="22"/>
        </w:rPr>
        <w:t>Improved diagnostic capability using homologous interpolation and Arbitrary Units for the indirect ELISA</w:t>
      </w:r>
      <w:r w:rsidR="00232BB5">
        <w:rPr>
          <w:rFonts w:ascii="Arial" w:hAnsi="Arial" w:cs="Arial"/>
          <w:szCs w:val="22"/>
        </w:rPr>
        <w:t>.</w:t>
      </w:r>
      <w:proofErr w:type="gramEnd"/>
    </w:p>
    <w:tbl>
      <w:tblPr>
        <w:tblW w:w="0" w:type="auto"/>
        <w:jc w:val="center"/>
        <w:tblLook w:val="01E0"/>
      </w:tblPr>
      <w:tblGrid>
        <w:gridCol w:w="2421"/>
        <w:gridCol w:w="2061"/>
      </w:tblGrid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Dilution</w:t>
            </w:r>
          </w:p>
        </w:tc>
        <w:tc>
          <w:tcPr>
            <w:tcW w:w="2061" w:type="dxa"/>
          </w:tcPr>
          <w:p w:rsidR="00A83286" w:rsidRPr="00710301" w:rsidRDefault="00A83286" w:rsidP="00A83286">
            <w:pPr>
              <w:jc w:val="center"/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AU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1:400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1000.00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1:800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500.00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1:1,600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250.00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1:3,200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125.00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1:6,400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62.50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1:12,800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31.25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1:25,600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15.63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1:51,200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7.81</w:t>
            </w:r>
          </w:p>
        </w:tc>
      </w:tr>
      <w:tr w:rsidR="00A83286" w:rsidRPr="00710301" w:rsidTr="00F5074A">
        <w:trPr>
          <w:trHeight w:val="70"/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1:102,400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3.91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</w:tcPr>
          <w:p w:rsidR="00A83286" w:rsidRPr="00710301" w:rsidRDefault="00A83286" w:rsidP="00A83286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1:204,800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1.95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  <w:vAlign w:val="bottom"/>
          </w:tcPr>
          <w:p w:rsidR="00A83286" w:rsidRPr="00710301" w:rsidRDefault="00A83286" w:rsidP="00A83286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1:409,600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0.98</w:t>
            </w:r>
          </w:p>
        </w:tc>
      </w:tr>
      <w:tr w:rsidR="00A83286" w:rsidRPr="00710301" w:rsidTr="00F5074A">
        <w:trPr>
          <w:jc w:val="center"/>
        </w:trPr>
        <w:tc>
          <w:tcPr>
            <w:tcW w:w="2421" w:type="dxa"/>
            <w:vAlign w:val="bottom"/>
          </w:tcPr>
          <w:p w:rsidR="00A83286" w:rsidRPr="00710301" w:rsidRDefault="00A83286" w:rsidP="00A83286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1:819,200</w:t>
            </w:r>
          </w:p>
        </w:tc>
        <w:tc>
          <w:tcPr>
            <w:tcW w:w="2061" w:type="dxa"/>
            <w:vAlign w:val="bottom"/>
          </w:tcPr>
          <w:p w:rsidR="00A83286" w:rsidRPr="00710301" w:rsidRDefault="00A83286" w:rsidP="00A83286">
            <w:pPr>
              <w:ind w:right="513"/>
              <w:jc w:val="right"/>
              <w:rPr>
                <w:rFonts w:ascii="Arial" w:hAnsi="Arial" w:cs="Arial"/>
                <w:bCs/>
                <w:color w:val="000000"/>
                <w:szCs w:val="22"/>
              </w:rPr>
            </w:pPr>
            <w:r w:rsidRPr="00710301">
              <w:rPr>
                <w:rFonts w:ascii="Arial" w:hAnsi="Arial" w:cs="Arial"/>
                <w:bCs/>
                <w:color w:val="000000"/>
                <w:szCs w:val="22"/>
              </w:rPr>
              <w:t>0.49</w:t>
            </w:r>
          </w:p>
        </w:tc>
      </w:tr>
    </w:tbl>
    <w:p w:rsidR="00232BB5" w:rsidRPr="00232BB5" w:rsidRDefault="00A83286" w:rsidP="00232BB5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710301">
        <w:rPr>
          <w:rFonts w:ascii="Arial" w:hAnsi="Arial" w:cs="Arial"/>
          <w:szCs w:val="22"/>
        </w:rPr>
        <w:t>omologous interpolation to derive Arbitrary Units (AU) of IgG to OV antigen from a Standard Calibration Curve derived from either a Standard Reference Serum of IgG against OV antigen or a Standard Reference Solution of urine IgG against OV antigen. The two-fold serial dilutions of t</w:t>
      </w:r>
      <w:r w:rsidR="00A5334A">
        <w:rPr>
          <w:rFonts w:ascii="Arial" w:hAnsi="Arial" w:cs="Arial"/>
          <w:szCs w:val="22"/>
        </w:rPr>
        <w:t xml:space="preserve">he Standard Reference Serum or </w:t>
      </w:r>
      <w:r w:rsidRPr="00710301">
        <w:rPr>
          <w:rFonts w:ascii="Arial" w:hAnsi="Arial" w:cs="Arial"/>
          <w:szCs w:val="22"/>
        </w:rPr>
        <w:t xml:space="preserve">Standard Reference Solution </w:t>
      </w:r>
      <w:r w:rsidR="00A5334A">
        <w:rPr>
          <w:rFonts w:ascii="Arial" w:hAnsi="Arial" w:cs="Arial"/>
          <w:szCs w:val="22"/>
        </w:rPr>
        <w:t xml:space="preserve">of urine </w:t>
      </w:r>
      <w:r w:rsidRPr="00710301">
        <w:rPr>
          <w:rFonts w:ascii="Arial" w:hAnsi="Arial" w:cs="Arial"/>
          <w:szCs w:val="22"/>
        </w:rPr>
        <w:t>start</w:t>
      </w:r>
      <w:r w:rsidR="00A5334A">
        <w:rPr>
          <w:rFonts w:ascii="Arial" w:hAnsi="Arial" w:cs="Arial"/>
          <w:szCs w:val="22"/>
        </w:rPr>
        <w:t>ed</w:t>
      </w:r>
      <w:r w:rsidRPr="00710301">
        <w:rPr>
          <w:rFonts w:ascii="Arial" w:hAnsi="Arial" w:cs="Arial"/>
          <w:szCs w:val="22"/>
        </w:rPr>
        <w:t xml:space="preserve"> at a dilution of 1:400 and </w:t>
      </w:r>
      <w:r w:rsidR="00A5334A">
        <w:rPr>
          <w:rFonts w:ascii="Arial" w:hAnsi="Arial" w:cs="Arial"/>
          <w:szCs w:val="22"/>
        </w:rPr>
        <w:t>were</w:t>
      </w:r>
      <w:r w:rsidRPr="00710301">
        <w:rPr>
          <w:rFonts w:ascii="Arial" w:hAnsi="Arial" w:cs="Arial"/>
          <w:szCs w:val="22"/>
        </w:rPr>
        <w:t xml:space="preserve"> assigned 1,000 Arbitrary Units</w:t>
      </w:r>
      <w:r w:rsidR="00A5334A">
        <w:rPr>
          <w:rFonts w:ascii="Arial" w:hAnsi="Arial" w:cs="Arial"/>
          <w:szCs w:val="22"/>
        </w:rPr>
        <w:t xml:space="preserve">, </w:t>
      </w:r>
      <w:r w:rsidRPr="00710301">
        <w:rPr>
          <w:rFonts w:ascii="Arial" w:hAnsi="Arial" w:cs="Arial"/>
          <w:szCs w:val="22"/>
        </w:rPr>
        <w:t>a number chosen for convenience when making calculations. The subsequent two-fold dilutions (e.g. 1:800, 1:1,600, etc.) were assigned corresponding AUs by seriall</w:t>
      </w:r>
      <w:r>
        <w:rPr>
          <w:rFonts w:ascii="Arial" w:hAnsi="Arial" w:cs="Arial"/>
          <w:szCs w:val="22"/>
        </w:rPr>
        <w:t>y dividing the 1000 by two (2)</w:t>
      </w:r>
      <w:r w:rsidRPr="00710301">
        <w:rPr>
          <w:rFonts w:ascii="Arial" w:hAnsi="Arial" w:cs="Arial"/>
          <w:szCs w:val="22"/>
        </w:rPr>
        <w:t xml:space="preserve">. The AUs of the Standard Reference Serum and Standard Reference Solution </w:t>
      </w:r>
      <w:r w:rsidR="00A5334A">
        <w:rPr>
          <w:rFonts w:ascii="Arial" w:hAnsi="Arial" w:cs="Arial"/>
          <w:szCs w:val="22"/>
        </w:rPr>
        <w:t>were</w:t>
      </w:r>
      <w:r w:rsidRPr="00710301">
        <w:rPr>
          <w:rFonts w:ascii="Arial" w:hAnsi="Arial" w:cs="Arial"/>
          <w:szCs w:val="22"/>
        </w:rPr>
        <w:t xml:space="preserve"> obtained by interpolating its ODs (492nm) onto the 4-PL Standard Calibration Curve and then finding the corresponding values on the vertical axis, which are expressed as </w:t>
      </w:r>
      <w:proofErr w:type="spellStart"/>
      <w:r w:rsidRPr="00710301">
        <w:rPr>
          <w:rFonts w:ascii="Arial" w:hAnsi="Arial" w:cs="Arial"/>
          <w:szCs w:val="22"/>
        </w:rPr>
        <w:t>AUs.</w:t>
      </w:r>
      <w:proofErr w:type="spellEnd"/>
      <w:r w:rsidRPr="00710301">
        <w:rPr>
          <w:rFonts w:ascii="Arial" w:hAnsi="Arial" w:cs="Arial"/>
          <w:szCs w:val="22"/>
        </w:rPr>
        <w:t xml:space="preserve"> This interpolation of the AUs was done using the </w:t>
      </w:r>
      <w:proofErr w:type="spellStart"/>
      <w:r w:rsidRPr="00710301">
        <w:rPr>
          <w:rFonts w:ascii="Arial" w:hAnsi="Arial" w:cs="Arial"/>
          <w:szCs w:val="22"/>
        </w:rPr>
        <w:t>SoftMax</w:t>
      </w:r>
      <w:proofErr w:type="spellEnd"/>
      <w:r w:rsidRPr="00710301">
        <w:rPr>
          <w:rFonts w:ascii="Arial" w:hAnsi="Arial" w:cs="Arial"/>
          <w:szCs w:val="22"/>
        </w:rPr>
        <w:t xml:space="preserve"> Pro </w:t>
      </w:r>
      <w:proofErr w:type="spellStart"/>
      <w:r w:rsidRPr="00710301">
        <w:rPr>
          <w:rFonts w:ascii="Arial" w:hAnsi="Arial" w:cs="Arial"/>
          <w:szCs w:val="22"/>
        </w:rPr>
        <w:t>GxP</w:t>
      </w:r>
      <w:proofErr w:type="spellEnd"/>
      <w:r w:rsidRPr="00710301">
        <w:rPr>
          <w:rFonts w:ascii="Arial" w:hAnsi="Arial" w:cs="Arial"/>
          <w:szCs w:val="22"/>
        </w:rPr>
        <w:t xml:space="preserve"> 5.4.1 software.</w:t>
      </w:r>
    </w:p>
    <w:sectPr w:rsidR="00232BB5" w:rsidRPr="00232BB5" w:rsidSect="00232BB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510842"/>
    <w:rsid w:val="00232BB5"/>
    <w:rsid w:val="00243D73"/>
    <w:rsid w:val="00436CB3"/>
    <w:rsid w:val="0047262C"/>
    <w:rsid w:val="004E1A4B"/>
    <w:rsid w:val="00510842"/>
    <w:rsid w:val="00710301"/>
    <w:rsid w:val="009230E3"/>
    <w:rsid w:val="009A7EAC"/>
    <w:rsid w:val="00A5334A"/>
    <w:rsid w:val="00A83286"/>
    <w:rsid w:val="00D21341"/>
    <w:rsid w:val="00E65D22"/>
    <w:rsid w:val="00F5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2C"/>
    <w:pPr>
      <w:spacing w:after="200" w:line="276" w:lineRule="auto"/>
    </w:pPr>
    <w:rPr>
      <w:rFonts w:ascii="Calibri" w:eastAsia="Calibri" w:hAnsi="Calibri" w:cs="Cordia New"/>
      <w:sz w:val="22"/>
      <w:szCs w:val="28"/>
      <w:lang w:eastAsia="en-US" w:bidi="th-T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D7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73"/>
    <w:rPr>
      <w:rFonts w:ascii="Lucida Grande" w:eastAsia="Times New Roman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47262C"/>
    <w:rPr>
      <w:rFonts w:ascii="Calibri" w:eastAsia="Calibri" w:hAnsi="Calibri" w:cs="Cordia New"/>
      <w:sz w:val="22"/>
      <w:szCs w:val="28"/>
      <w:lang w:eastAsia="en-US" w:bidi="th-TH"/>
    </w:rPr>
  </w:style>
  <w:style w:type="character" w:styleId="Nmerodelinha">
    <w:name w:val="line number"/>
    <w:basedOn w:val="Fontepargpadro"/>
    <w:uiPriority w:val="99"/>
    <w:semiHidden/>
    <w:unhideWhenUsed/>
    <w:rsid w:val="004726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2C"/>
    <w:pPr>
      <w:spacing w:after="200" w:line="276" w:lineRule="auto"/>
    </w:pPr>
    <w:rPr>
      <w:rFonts w:ascii="Calibri" w:eastAsia="Calibri" w:hAnsi="Calibri"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D7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3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7262C"/>
    <w:rPr>
      <w:rFonts w:ascii="Calibri" w:eastAsia="Calibri" w:hAnsi="Calibri" w:cs="Cordia New"/>
      <w:sz w:val="22"/>
      <w:szCs w:val="28"/>
      <w:lang w:eastAsia="en-US" w:bidi="th-TH"/>
    </w:rPr>
  </w:style>
  <w:style w:type="character" w:styleId="LineNumber">
    <w:name w:val="line number"/>
    <w:basedOn w:val="DefaultParagraphFont"/>
    <w:uiPriority w:val="99"/>
    <w:semiHidden/>
    <w:unhideWhenUsed/>
    <w:rsid w:val="0047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>GWUMC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Bethony</dc:creator>
  <cp:keywords/>
  <dc:description/>
  <cp:lastModifiedBy>periago</cp:lastModifiedBy>
  <cp:revision>2</cp:revision>
  <cp:lastPrinted>2013-04-05T11:51:00Z</cp:lastPrinted>
  <dcterms:created xsi:type="dcterms:W3CDTF">2013-04-15T19:05:00Z</dcterms:created>
  <dcterms:modified xsi:type="dcterms:W3CDTF">2013-04-15T19:05:00Z</dcterms:modified>
</cp:coreProperties>
</file>