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AFFF" w14:textId="6C8180A4" w:rsidR="002E4542" w:rsidRDefault="002E4542" w:rsidP="002E454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5100061"/>
      <w:r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B0135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Table. Egger’s test for publication bias</w:t>
      </w:r>
    </w:p>
    <w:bookmarkEnd w:id="0"/>
    <w:p w14:paraId="0D6AB1F1" w14:textId="77777777" w:rsidR="002E4542" w:rsidRDefault="002E4542" w:rsidP="002E454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844"/>
        <w:gridCol w:w="1491"/>
        <w:gridCol w:w="1408"/>
        <w:gridCol w:w="1077"/>
        <w:gridCol w:w="1545"/>
      </w:tblGrid>
      <w:tr w:rsidR="002E4542" w14:paraId="1116FCF9" w14:textId="77777777" w:rsidTr="00420255">
        <w:tc>
          <w:tcPr>
            <w:tcW w:w="2844" w:type="dxa"/>
            <w:shd w:val="clear" w:color="auto" w:fill="BFBFBF" w:themeFill="background1" w:themeFillShade="BF"/>
          </w:tcPr>
          <w:p w14:paraId="51391808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BFBFBF" w:themeFill="background1" w:themeFillShade="BF"/>
          </w:tcPr>
          <w:p w14:paraId="165BCE90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Studies (n)</w:t>
            </w:r>
            <w:r w:rsidRPr="00ED67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14:paraId="5B10341E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Pooled Prev.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7AC3985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452755E5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Egger Test p-value</w:t>
            </w:r>
          </w:p>
        </w:tc>
      </w:tr>
      <w:tr w:rsidR="002E4542" w14:paraId="0DB6D5FC" w14:textId="77777777" w:rsidTr="00420255">
        <w:tc>
          <w:tcPr>
            <w:tcW w:w="2844" w:type="dxa"/>
          </w:tcPr>
          <w:p w14:paraId="39F39A93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Primate order</w:t>
            </w:r>
          </w:p>
        </w:tc>
        <w:tc>
          <w:tcPr>
            <w:tcW w:w="1491" w:type="dxa"/>
          </w:tcPr>
          <w:p w14:paraId="517DC322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</w:tcPr>
          <w:p w14:paraId="60B3BF00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077" w:type="dxa"/>
          </w:tcPr>
          <w:p w14:paraId="6AB3400F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4.3; 25.1</w:t>
            </w:r>
          </w:p>
        </w:tc>
        <w:tc>
          <w:tcPr>
            <w:tcW w:w="1545" w:type="dxa"/>
          </w:tcPr>
          <w:p w14:paraId="79AD7037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0.8945</w:t>
            </w:r>
          </w:p>
        </w:tc>
      </w:tr>
      <w:tr w:rsidR="002E4542" w14:paraId="0B7308F3" w14:textId="77777777" w:rsidTr="00420255">
        <w:tc>
          <w:tcPr>
            <w:tcW w:w="2844" w:type="dxa"/>
            <w:shd w:val="clear" w:color="auto" w:fill="F2F2F2" w:themeFill="background1" w:themeFillShade="F2"/>
          </w:tcPr>
          <w:p w14:paraId="3A3BDC85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Cebus/</w:t>
            </w:r>
            <w:proofErr w:type="spellStart"/>
            <w:r w:rsidRPr="00760C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Sapajus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genus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2587A818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60486906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54F1EFE2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3.5; 15.3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608C8FBC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0.4024</w:t>
            </w:r>
          </w:p>
        </w:tc>
      </w:tr>
      <w:tr w:rsidR="002E4542" w14:paraId="79C32D40" w14:textId="77777777" w:rsidTr="00420255">
        <w:tc>
          <w:tcPr>
            <w:tcW w:w="2844" w:type="dxa"/>
            <w:shd w:val="clear" w:color="auto" w:fill="FFFFFF" w:themeFill="background1"/>
          </w:tcPr>
          <w:p w14:paraId="572B0A19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Alouatta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genus</w:t>
            </w:r>
          </w:p>
        </w:tc>
        <w:tc>
          <w:tcPr>
            <w:tcW w:w="1491" w:type="dxa"/>
            <w:shd w:val="clear" w:color="auto" w:fill="FFFFFF" w:themeFill="background1"/>
          </w:tcPr>
          <w:p w14:paraId="292F4749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shd w:val="clear" w:color="auto" w:fill="FFFFFF" w:themeFill="background1"/>
          </w:tcPr>
          <w:p w14:paraId="15CE8C12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077" w:type="dxa"/>
            <w:shd w:val="clear" w:color="auto" w:fill="FFFFFF" w:themeFill="background1"/>
          </w:tcPr>
          <w:p w14:paraId="2FE04C22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2.2; 81.6</w:t>
            </w:r>
          </w:p>
        </w:tc>
        <w:tc>
          <w:tcPr>
            <w:tcW w:w="1545" w:type="dxa"/>
            <w:shd w:val="clear" w:color="auto" w:fill="FFFFFF" w:themeFill="background1"/>
          </w:tcPr>
          <w:p w14:paraId="4AD573AA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0.6077</w:t>
            </w:r>
          </w:p>
        </w:tc>
      </w:tr>
      <w:tr w:rsidR="002E4542" w14:paraId="10CC8EE4" w14:textId="77777777" w:rsidTr="00420255">
        <w:tc>
          <w:tcPr>
            <w:tcW w:w="2844" w:type="dxa"/>
            <w:shd w:val="clear" w:color="auto" w:fill="F2F2F2" w:themeFill="background1" w:themeFillShade="F2"/>
          </w:tcPr>
          <w:p w14:paraId="4FABF10D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Pilosa order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124B62DB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711C2AF2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60A87960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0.0; 6.6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3A4554A2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0.6759</w:t>
            </w:r>
          </w:p>
        </w:tc>
      </w:tr>
      <w:tr w:rsidR="002E4542" w14:paraId="48FD8095" w14:textId="77777777" w:rsidTr="00420255">
        <w:tc>
          <w:tcPr>
            <w:tcW w:w="2844" w:type="dxa"/>
            <w:shd w:val="clear" w:color="auto" w:fill="FFFFFF" w:themeFill="background1"/>
          </w:tcPr>
          <w:p w14:paraId="1292719C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Rodentia order</w:t>
            </w:r>
          </w:p>
        </w:tc>
        <w:tc>
          <w:tcPr>
            <w:tcW w:w="1491" w:type="dxa"/>
            <w:shd w:val="clear" w:color="auto" w:fill="FFFFFF" w:themeFill="background1"/>
          </w:tcPr>
          <w:p w14:paraId="171D2AAB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shd w:val="clear" w:color="auto" w:fill="FFFFFF" w:themeFill="background1"/>
          </w:tcPr>
          <w:p w14:paraId="54FA900D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77" w:type="dxa"/>
            <w:shd w:val="clear" w:color="auto" w:fill="FFFFFF" w:themeFill="background1"/>
          </w:tcPr>
          <w:p w14:paraId="2B7529D3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0.0; 6.5</w:t>
            </w:r>
          </w:p>
        </w:tc>
        <w:tc>
          <w:tcPr>
            <w:tcW w:w="1545" w:type="dxa"/>
            <w:shd w:val="clear" w:color="auto" w:fill="FFFFFF" w:themeFill="background1"/>
          </w:tcPr>
          <w:p w14:paraId="48D25B18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0.6299</w:t>
            </w:r>
          </w:p>
        </w:tc>
      </w:tr>
      <w:tr w:rsidR="002E4542" w14:paraId="49161D34" w14:textId="77777777" w:rsidTr="00420255">
        <w:tc>
          <w:tcPr>
            <w:tcW w:w="2844" w:type="dxa"/>
            <w:shd w:val="clear" w:color="auto" w:fill="F2F2F2" w:themeFill="background1" w:themeFillShade="F2"/>
          </w:tcPr>
          <w:p w14:paraId="403ABE4D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Domestic Equids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28A37893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225568C2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1A0ADA6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0.0; 4.5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4C32849B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0.3543</w:t>
            </w:r>
          </w:p>
        </w:tc>
      </w:tr>
      <w:tr w:rsidR="002E4542" w14:paraId="59B63FC3" w14:textId="77777777" w:rsidTr="00420255">
        <w:tc>
          <w:tcPr>
            <w:tcW w:w="2844" w:type="dxa"/>
            <w:shd w:val="clear" w:color="auto" w:fill="FFFFFF" w:themeFill="background1"/>
          </w:tcPr>
          <w:p w14:paraId="706B2722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Didelphimorphia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order</w:t>
            </w:r>
          </w:p>
        </w:tc>
        <w:tc>
          <w:tcPr>
            <w:tcW w:w="1491" w:type="dxa"/>
            <w:shd w:val="clear" w:color="auto" w:fill="FFFFFF" w:themeFill="background1"/>
          </w:tcPr>
          <w:p w14:paraId="59C93BFC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shd w:val="clear" w:color="auto" w:fill="FFFFFF" w:themeFill="background1"/>
          </w:tcPr>
          <w:p w14:paraId="180F1D79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77" w:type="dxa"/>
            <w:shd w:val="clear" w:color="auto" w:fill="FFFFFF" w:themeFill="background1"/>
          </w:tcPr>
          <w:p w14:paraId="16EA6627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0.0; 7.2</w:t>
            </w:r>
          </w:p>
        </w:tc>
        <w:tc>
          <w:tcPr>
            <w:tcW w:w="1545" w:type="dxa"/>
            <w:shd w:val="clear" w:color="auto" w:fill="FFFFFF" w:themeFill="background1"/>
          </w:tcPr>
          <w:p w14:paraId="395DACAD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0.1446</w:t>
            </w:r>
          </w:p>
        </w:tc>
      </w:tr>
      <w:tr w:rsidR="002E4542" w14:paraId="2A154569" w14:textId="77777777" w:rsidTr="00420255">
        <w:tc>
          <w:tcPr>
            <w:tcW w:w="2844" w:type="dxa"/>
            <w:shd w:val="clear" w:color="auto" w:fill="F2F2F2" w:themeFill="background1" w:themeFillShade="F2"/>
          </w:tcPr>
          <w:p w14:paraId="3FB910A7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Carnivora order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14:paraId="39C0B753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3145D122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5E74C0FE" w14:textId="77777777" w:rsidR="002E4542" w:rsidRPr="00760C9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C92">
              <w:rPr>
                <w:rFonts w:ascii="Times New Roman" w:hAnsi="Times New Roman" w:cs="Times New Roman"/>
                <w:sz w:val="24"/>
                <w:szCs w:val="24"/>
              </w:rPr>
              <w:t>0.0; 8.1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401CC097" w14:textId="77777777" w:rsidR="002E4542" w:rsidRDefault="002E4542" w:rsidP="0042025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0.8822</w:t>
            </w:r>
          </w:p>
        </w:tc>
      </w:tr>
    </w:tbl>
    <w:p w14:paraId="1D62A6C6" w14:textId="77777777" w:rsidR="002E4542" w:rsidRDefault="002E4542" w:rsidP="002E454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AA7372">
        <w:rPr>
          <w:rFonts w:ascii="Times New Roman" w:hAnsi="Times New Roman" w:cs="Times New Roman"/>
          <w:sz w:val="20"/>
          <w:szCs w:val="20"/>
        </w:rPr>
        <w:t xml:space="preserve"> Egger</w:t>
      </w:r>
      <w:r>
        <w:rPr>
          <w:rFonts w:ascii="Times New Roman" w:hAnsi="Times New Roman" w:cs="Times New Roman"/>
          <w:sz w:val="20"/>
          <w:szCs w:val="20"/>
        </w:rPr>
        <w:t>’s</w:t>
      </w:r>
      <w:r w:rsidRPr="00AA7372">
        <w:rPr>
          <w:rFonts w:ascii="Times New Roman" w:hAnsi="Times New Roman" w:cs="Times New Roman"/>
          <w:sz w:val="20"/>
          <w:szCs w:val="20"/>
        </w:rPr>
        <w:t xml:space="preserve"> test </w:t>
      </w:r>
      <w:r>
        <w:rPr>
          <w:rFonts w:ascii="Times New Roman" w:hAnsi="Times New Roman" w:cs="Times New Roman"/>
          <w:sz w:val="20"/>
          <w:szCs w:val="20"/>
        </w:rPr>
        <w:t>wa</w:t>
      </w:r>
      <w:r w:rsidRPr="00AA7372">
        <w:rPr>
          <w:rFonts w:ascii="Times New Roman" w:hAnsi="Times New Roman" w:cs="Times New Roman"/>
          <w:sz w:val="20"/>
          <w:szCs w:val="20"/>
        </w:rPr>
        <w:t xml:space="preserve">s only conducted for meta-analyses that include five or more studies. </w:t>
      </w:r>
      <w:r>
        <w:rPr>
          <w:rFonts w:ascii="Times New Roman" w:hAnsi="Times New Roman" w:cs="Times New Roman"/>
          <w:sz w:val="20"/>
          <w:szCs w:val="20"/>
        </w:rPr>
        <w:t xml:space="preserve"> Egger’s test should be interpreted with caution if 10 studies or less are included in the analysis </w:t>
      </w:r>
      <w:r w:rsidRPr="00E576CC"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ADDIN EN.CITE &lt;EndNote&gt;&lt;Cite&gt;&lt;Author&gt;Egger&lt;/Author&gt;&lt;Year&gt;1997&lt;/Year&gt;&lt;RecNum&gt;5123&lt;/RecNum&gt;&lt;DisplayText&gt;[1]&lt;/DisplayText&gt;&lt;record&gt;&lt;rec-number&gt;5123&lt;/rec-number&gt;&lt;foreign-keys&gt;&lt;key app="EN" db-id="frrfets06e5a0heafz7xd2z0t0adafsw2fvz" timestamp="1600620924" guid="55b61292-752c-4f8f-ba07-397fd157b7d5"&gt;5123&lt;/key&gt;&lt;/foreign-keys&gt;&lt;ref-type name="Journal Article"&gt;17&lt;/ref-type&gt;&lt;contributors&gt;&lt;authors&gt;&lt;author&gt;Egger, M.&lt;/author&gt;&lt;author&gt;Davey Smith, G.&lt;/author&gt;&lt;author&gt;Schneider, M.&lt;/author&gt;&lt;author&gt;Minder, C.&lt;/author&gt;&lt;/authors&gt;&lt;/contributors&gt;&lt;auth-address&gt;Department of Social Medicine, University of Bristol. m.egger@bristol.ac.uk&lt;/auth-address&gt;&lt;titles&gt;&lt;title&gt;Bias in meta-analysis detected by a simple, graphical test&lt;/title&gt;&lt;secondary-title&gt;BMJ&lt;/secondary-title&gt;&lt;/titles&gt;&lt;periodical&gt;&lt;full-title&gt;BMJ&lt;/full-title&gt;&lt;/periodical&gt;&lt;pages&gt;629-34&lt;/pages&gt;&lt;volume&gt;315&lt;/volume&gt;&lt;number&gt;7109&lt;/number&gt;&lt;edition&gt;1997/10/06&lt;/edition&gt;&lt;keywords&gt;&lt;keyword&gt;*Bias&lt;/keyword&gt;&lt;keyword&gt;*Meta-Analysis as Topic&lt;/keyword&gt;&lt;keyword&gt;Randomized Controlled Trials as Topic&lt;/keyword&gt;&lt;keyword&gt;Regression Analysis&lt;/keyword&gt;&lt;keyword&gt;Statistics as Topic&lt;/keyword&gt;&lt;keyword&gt;Treatment Outcome&lt;/keyword&gt;&lt;/keywords&gt;&lt;dates&gt;&lt;year&gt;1997&lt;/year&gt;&lt;pub-dates&gt;&lt;date&gt;Sep 13&lt;/date&gt;&lt;/pub-dates&gt;&lt;/dates&gt;&lt;isbn&gt;0959-8138 (Print)&amp;#xD;0959-8138&lt;/isbn&gt;&lt;accession-num&gt;9310563&lt;/accession-num&gt;&lt;urls&gt;&lt;/urls&gt;&lt;custom2&gt;PMC2127453&lt;/custom2&gt;&lt;electronic-resource-num&gt;10.1136/bmj.315.7109.629&lt;/electronic-resource-num&gt;&lt;remote-database-provider&gt;NLM&lt;/remote-database-provider&gt;&lt;language&gt;eng&lt;/language&gt;&lt;/record&gt;&lt;/Cite&gt;&lt;/EndNote&gt;</w:instrText>
      </w:r>
      <w:r w:rsidRPr="00E576CC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[1]</w:t>
      </w:r>
      <w:r w:rsidRPr="00E576CC">
        <w:rPr>
          <w:rFonts w:ascii="Times New Roman" w:hAnsi="Times New Roman" w:cs="Times New Roman"/>
          <w:sz w:val="20"/>
        </w:rPr>
        <w:fldChar w:fldCharType="end"/>
      </w:r>
    </w:p>
    <w:p w14:paraId="070D0465" w14:textId="6AEA7032" w:rsidR="002E4542" w:rsidRDefault="002E4542" w:rsidP="002E454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3EDF2779" w14:textId="11FA29CC" w:rsidR="002E4542" w:rsidRDefault="002E4542" w:rsidP="002E454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45222C9C" w14:textId="4B162AAC" w:rsidR="002E4542" w:rsidRDefault="002E4542" w:rsidP="002E454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2C6FE5B2" w14:textId="77777777" w:rsidR="002E4542" w:rsidRDefault="002E4542" w:rsidP="002E454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3A36EAC3" w14:textId="77777777" w:rsidR="002E4542" w:rsidRPr="002E4542" w:rsidRDefault="002E4542" w:rsidP="002E4542">
      <w:pPr>
        <w:pStyle w:val="EndNoteBibliographyTitle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E4542">
        <w:t>References</w:t>
      </w:r>
    </w:p>
    <w:p w14:paraId="0E06A85E" w14:textId="77777777" w:rsidR="002E4542" w:rsidRPr="002E4542" w:rsidRDefault="002E4542" w:rsidP="002E4542">
      <w:pPr>
        <w:pStyle w:val="EndNoteBibliographyTitle"/>
      </w:pPr>
    </w:p>
    <w:p w14:paraId="038C6DDC" w14:textId="77777777" w:rsidR="002E4542" w:rsidRPr="002E4542" w:rsidRDefault="002E4542" w:rsidP="002E4542">
      <w:pPr>
        <w:pStyle w:val="EndNoteBibliography"/>
      </w:pPr>
      <w:r w:rsidRPr="002E4542">
        <w:t>1.</w:t>
      </w:r>
      <w:r w:rsidRPr="002E4542">
        <w:tab/>
        <w:t>Egger M, Davey Smith G, Schneider M, Minder C. Bias in meta-analysis detected by a simple, graphical test. BMJ. 1997;315(7109):629-34. Epub 1997/10/06. doi: 10.1136/bmj.315.7109.629. PubMed PMID: 9310563; PubMed Central PMCID: PMCPMC2127453.</w:t>
      </w:r>
    </w:p>
    <w:p w14:paraId="7D98C515" w14:textId="4A60EDB7" w:rsidR="002E4542" w:rsidRDefault="002E4542" w:rsidP="002E4542">
      <w:pPr>
        <w:tabs>
          <w:tab w:val="left" w:pos="1245"/>
        </w:tabs>
        <w:spacing w:after="0" w:line="240" w:lineRule="auto"/>
      </w:pPr>
      <w:r>
        <w:fldChar w:fldCharType="end"/>
      </w:r>
    </w:p>
    <w:sectPr w:rsidR="002E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rfets06e5a0heafz7xd2z0t0adafsw2fvz&quot;&gt;My EndNote Library-Converted&lt;record-ids&gt;&lt;item&gt;5123&lt;/item&gt;&lt;/record-ids&gt;&lt;/item&gt;&lt;/Libraries&gt;"/>
  </w:docVars>
  <w:rsids>
    <w:rsidRoot w:val="002E4542"/>
    <w:rsid w:val="002E4542"/>
    <w:rsid w:val="00B0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1E7D"/>
  <w15:chartTrackingRefBased/>
  <w15:docId w15:val="{090EEDF2-96AD-4689-97A3-A034040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E454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4542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E4542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E4542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celone</dc:creator>
  <cp:keywords/>
  <dc:description/>
  <cp:lastModifiedBy>mike celone</cp:lastModifiedBy>
  <cp:revision>2</cp:revision>
  <dcterms:created xsi:type="dcterms:W3CDTF">2021-11-24T21:05:00Z</dcterms:created>
  <dcterms:modified xsi:type="dcterms:W3CDTF">2021-11-25T04:13:00Z</dcterms:modified>
</cp:coreProperties>
</file>