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438A6C" w14:textId="1951EF8D" w:rsidR="006723DD" w:rsidRPr="006D232D" w:rsidRDefault="004F5B42" w:rsidP="00811738">
      <w:pPr>
        <w:rPr>
          <w:b/>
        </w:rPr>
      </w:pPr>
      <w:bookmarkStart w:id="0" w:name="_GoBack"/>
      <w:r w:rsidRPr="006D232D">
        <w:rPr>
          <w:b/>
        </w:rPr>
        <w:t>S1 Text</w:t>
      </w:r>
      <w:r w:rsidR="006723DD" w:rsidRPr="006D232D">
        <w:rPr>
          <w:b/>
        </w:rPr>
        <w:t>: Diagnosis of major infectious agents</w:t>
      </w:r>
    </w:p>
    <w:bookmarkEnd w:id="0"/>
    <w:p w14:paraId="2121FEA5" w14:textId="211496FE" w:rsidR="006723DD" w:rsidRDefault="006723DD" w:rsidP="006723DD">
      <w:r>
        <w:t xml:space="preserve">A detailed report of the data collection and primary analysis can be found in </w:t>
      </w:r>
      <w:r>
        <w:fldChar w:fldCharType="begin"/>
      </w:r>
      <w:r w:rsidR="009A61DF">
        <w:instrText xml:space="preserve"> ADDIN ZOTERO_ITEM CSL_CITATION {"citationID":"Ka3kvQN3","properties":{"formattedCitation":"[1]","plainCitation":"[1]","noteIndex":0},"citationItems":[{"id":17086,"uris":["http://zotero.org/users/5464174/items/6FL7YTXT"],"uri":["http://zotero.org/users/5464174/items/6FL7YTXT"],"itemData":{"id":17086,"type":"article-journal","abstract":"During 2003–2011, we recruited 1,065 patients of all ages admitted to Mahosot Hospital (Vientiane, Laos) with suspected central nervous system (CNS) infection. Etiologies were laboratory confirmed for 42.3% of patients, who mostly had infections with emerging pathogens: viruses in 16.2% (mainly Japanese encephalitis virus [8.8%]); bacteria in 16.4% (including Orientia tsutsugamushi [2.9%], Leptospira spp. [2.3%], and Rickettsia spp. [2.3%]); and Cryptococcus spp. fungi in 6.6%. We observed no significant differences in distribution of clinical encephalitis and meningitis by bacterial or viral etiology. However, patients with bacterial CNS infection were more likely to have a history of diabetes than others. Death (26.3%) was associated with low Glasgow Coma Scale score, and the mortality rate was higher for patients with bacterial than viral infections. No clinical or laboratory variables could guide antibiotic selection. We conclude that high-dependency units and first-line treatment with ceftriaxone and doxycycline for suspected CNS infections could improve patient survival in Laos.","container-title":"Emerging Infectious Diseases","DOI":"10.3201/eid2505.180914","ISSN":"1080-6040","issue":"5","journalAbbreviation":"Emerg Infect Dis","note":"PMID: 31002063\nPMCID: PMC6478220","page":"898-910","source":"PubMed Central","title":"Management of Central Nervous System Infections, Vientiane, Laos, 2003–2011","volume":"25","author":[{"family":"Dubot-Pérès","given":"Audrey"},{"family":"Mayxay","given":"Mayfong"},{"family":"Phetsouvanh","given":"Rattanaphone"},{"family":"Lee","given":"Sue J."},{"family":"Rattanavong","given":"Sayaphet"},{"family":"Vongsouvath","given":"Manivanh"},{"family":"Davong","given":"Viengmon"},{"family":"Chansamouth","given":"Vilada"},{"family":"Phommasone","given":"Koukeo"},{"family":"Moore","given":"Catrin"},{"family":"Dittrich","given":"Sabine"},{"family":"Lattana","given":"Olay"},{"family":"Sirisouk","given":"Joy"},{"family":"Phoumin","given":"Phonelavanh"},{"family":"Panyanivong","given":"Phonepasith"},{"family":"Sengduangphachanh","given":"Amphonesavanh"},{"family":"Sibounheuang","given":"Bountoy"},{"family":"Chanthongthip","given":"Anisone"},{"family":"Simmalavong","given":"Manivone"},{"family":"Sengdatka","given":"Davanh"},{"family":"Seubsanith","given":"Amphaivanh"},{"family":"Keoluangkot","given":"Valy"},{"family":"Phimmasone","given":"Prasith"},{"family":"Sisout","given":"Kongkham"},{"family":"Detleuxay","given":"Khamsai"},{"family":"Luangxay","given":"Khonesavanh"},{"family":"Phouangsouvanh","given":"Inpanh"},{"family":"Craig","given":"Scott B."},{"family":"Tulsiani","given":"Suhella M."},{"family":"Burns","given":"Mary-Anne"},{"family":"Dance","given":"David A.B."},{"family":"Blacksell","given":"Stuart D."},{"family":"Lamballerie","given":"Xavier","non-dropping-particle":"de"},{"family":"Newton","given":"Paul N."}],"issued":{"date-parts":[["2019",5]]}}}],"schema":"https://github.com/citation-style-language/schema/raw/master/csl-citation.json"} </w:instrText>
      </w:r>
      <w:r>
        <w:fldChar w:fldCharType="separate"/>
      </w:r>
      <w:r w:rsidRPr="000952C2">
        <w:rPr>
          <w:rFonts w:ascii="Calibri" w:hAnsi="Calibri" w:cs="Calibri"/>
        </w:rPr>
        <w:t>[1]</w:t>
      </w:r>
      <w:r>
        <w:fldChar w:fldCharType="end"/>
      </w:r>
      <w:r>
        <w:t xml:space="preserve">. Cerebrospinal fluid (CSF) was taken from all patients </w:t>
      </w:r>
      <w:r w:rsidR="00AF7495">
        <w:t xml:space="preserve">consenting to be </w:t>
      </w:r>
      <w:r>
        <w:t>included in this study (approximately 2.5</w:t>
      </w:r>
      <w:r w:rsidR="007965BE">
        <w:t xml:space="preserve"> </w:t>
      </w:r>
      <w:r>
        <w:t>mL for children &lt; 1yo; 3.5</w:t>
      </w:r>
      <w:r w:rsidR="007965BE">
        <w:t xml:space="preserve"> </w:t>
      </w:r>
      <w:r>
        <w:t>mL for children 1 – 14yo; and 8</w:t>
      </w:r>
      <w:r w:rsidR="007965BE">
        <w:t xml:space="preserve"> </w:t>
      </w:r>
      <w:r>
        <w:t xml:space="preserve">mL for patients </w:t>
      </w:r>
      <w:r w:rsidRPr="000952C2">
        <w:rPr>
          <w:u w:val="single"/>
        </w:rPr>
        <w:t>&gt;</w:t>
      </w:r>
      <w:r>
        <w:t xml:space="preserve"> 15yo). A venous blood sample was also taken on the same day as the lumbar puncture (approximately 5.5</w:t>
      </w:r>
      <w:r w:rsidR="007965BE">
        <w:t xml:space="preserve"> </w:t>
      </w:r>
      <w:r>
        <w:t>mL for patients &gt; 15yo; 10</w:t>
      </w:r>
      <w:r w:rsidR="007965BE">
        <w:t xml:space="preserve"> </w:t>
      </w:r>
      <w:r>
        <w:t>mL for children 1 – 14yo; and 18.5</w:t>
      </w:r>
      <w:r w:rsidR="007965BE">
        <w:t xml:space="preserve"> </w:t>
      </w:r>
      <w:r>
        <w:t xml:space="preserve">mL for patients </w:t>
      </w:r>
      <w:r w:rsidRPr="000952C2">
        <w:rPr>
          <w:u w:val="single"/>
        </w:rPr>
        <w:t>&gt;</w:t>
      </w:r>
      <w:r>
        <w:t xml:space="preserve"> 15yo). When possible follow-up serum samples were collected between 7 and 10 days post LP. All patient samples were analyzed using a panel of tests, including complete blood count; culture; biochemistry panel; and both serological and molecular assays for a range of fungi, parasites, viruses, and bacteria.</w:t>
      </w:r>
    </w:p>
    <w:p w14:paraId="3032B644" w14:textId="77777777" w:rsidR="006723DD" w:rsidRDefault="006723DD" w:rsidP="006723DD">
      <w:r>
        <w:t>We considered sample size, natural history, and ecology of infections for selecting pathogens for this secondary analysis. Detections of the pathogens included in this analysis are as follows:</w:t>
      </w:r>
    </w:p>
    <w:p w14:paraId="24871CA1" w14:textId="738ED0BB" w:rsidR="006723DD" w:rsidRDefault="006723DD" w:rsidP="006723DD">
      <w:pPr>
        <w:pStyle w:val="ListParagraph"/>
        <w:numPr>
          <w:ilvl w:val="0"/>
          <w:numId w:val="1"/>
        </w:numPr>
      </w:pPr>
      <w:r w:rsidRPr="00601742">
        <w:rPr>
          <w:i/>
        </w:rPr>
        <w:t xml:space="preserve">Japanese </w:t>
      </w:r>
      <w:r w:rsidR="007965BE" w:rsidRPr="00601742">
        <w:rPr>
          <w:i/>
        </w:rPr>
        <w:t>e</w:t>
      </w:r>
      <w:r w:rsidRPr="00601742">
        <w:rPr>
          <w:i/>
        </w:rPr>
        <w:t>ncephalitis virus</w:t>
      </w:r>
      <w:r>
        <w:t xml:space="preserve"> </w:t>
      </w:r>
      <w:r w:rsidR="000C7C82">
        <w:t xml:space="preserve">(JEV) </w:t>
      </w:r>
      <w:r>
        <w:t xml:space="preserve">infections were detected using ELISA IgM (Japanese Encephalitis/Dengue IgM Combo ELISA from </w:t>
      </w:r>
      <w:proofErr w:type="spellStart"/>
      <w:r>
        <w:t>Panbio</w:t>
      </w:r>
      <w:proofErr w:type="spellEnd"/>
      <w:r>
        <w:t>) in CSF, and in serum at both admission and follow-up.</w:t>
      </w:r>
      <w:r w:rsidR="000C7C82">
        <w:t xml:space="preserve"> Patients who were negative at admission but seropositive in a follow-up were classified as confirmed JEV infections. Some JEV</w:t>
      </w:r>
      <w:r>
        <w:t xml:space="preserve"> </w:t>
      </w:r>
      <w:r w:rsidR="000C7C82">
        <w:t>infections were also diagnosed by culture or PCR.</w:t>
      </w:r>
    </w:p>
    <w:p w14:paraId="6E6222BA" w14:textId="48EA8594" w:rsidR="006723DD" w:rsidRDefault="006723DD" w:rsidP="006723DD">
      <w:pPr>
        <w:pStyle w:val="ListParagraph"/>
        <w:numPr>
          <w:ilvl w:val="0"/>
          <w:numId w:val="1"/>
        </w:numPr>
      </w:pPr>
      <w:r w:rsidRPr="00E01296">
        <w:rPr>
          <w:i/>
        </w:rPr>
        <w:t>Cryptococcus</w:t>
      </w:r>
      <w:r>
        <w:t xml:space="preserve"> spp. infections were detected using Indian ink stain of CSF; </w:t>
      </w:r>
      <w:r w:rsidRPr="00601742">
        <w:rPr>
          <w:i/>
        </w:rPr>
        <w:t>Cryptococcus</w:t>
      </w:r>
      <w:r>
        <w:t xml:space="preserve"> Antigen Latex Agglutination Test with CSF (when HIV infection was suspected); and culture on </w:t>
      </w:r>
      <w:proofErr w:type="spellStart"/>
      <w:r>
        <w:t>Sabouraud</w:t>
      </w:r>
      <w:proofErr w:type="spellEnd"/>
      <w:r>
        <w:t xml:space="preserve"> agar when Indian ink test was positive </w:t>
      </w:r>
      <w:r w:rsidR="007965BE">
        <w:t xml:space="preserve">or </w:t>
      </w:r>
      <w:r>
        <w:t>HIV infection was suspected.</w:t>
      </w:r>
    </w:p>
    <w:p w14:paraId="45DB3C65" w14:textId="0D67F510" w:rsidR="006723DD" w:rsidRDefault="006723DD" w:rsidP="006723DD">
      <w:pPr>
        <w:pStyle w:val="ListParagraph"/>
        <w:numPr>
          <w:ilvl w:val="0"/>
          <w:numId w:val="1"/>
        </w:numPr>
      </w:pPr>
      <w:r w:rsidRPr="00601742">
        <w:rPr>
          <w:i/>
        </w:rPr>
        <w:t>Dengue virus</w:t>
      </w:r>
      <w:r>
        <w:t xml:space="preserve"> infections were detected using Hydrolysis probe real time RT-PCR </w:t>
      </w:r>
      <w:r>
        <w:fldChar w:fldCharType="begin"/>
      </w:r>
      <w:r w:rsidR="009A61DF">
        <w:instrText xml:space="preserve"> ADDIN ZOTERO_ITEM CSL_CITATION {"citationID":"oPnGdusU","properties":{"formattedCitation":"[2]","plainCitation":"[2]","noteIndex":0},"citationItems":[{"id":17209,"uris":["http://zotero.org/users/5464174/items/RCCJKTVC"],"uri":["http://zotero.org/users/5464174/items/RCCJKTVC"],"itemData":{"id":17209,"type":"article-journal","abstract":"BACKGROUND: Dengue virus, transmitted by mosquitoes, causes every year 50 million cases of dengue fever. A standardize method for early diagnosis is still needed for clinical diagnosis and epidemiological studies.\nOBJECTIVE: To develop and validate for sensitivity, specificity, linearity and precision real-time one-step RT-PCR for the detection of dengue viruses.\nSTUDY DESIGN: Multiple alignments of dengue virus sequence for each serotype were done and used to develop five systems of real-time RT-PCR to detect all dengue virus strains and then identify the serotype. These systems were validated on synthetic RNA transcripts for specificity, sensitivity, precision and linearity and then applied on series of human samples.\nRESULTS: The specificity of each system was determined by sequence alignments and experimentally tested on different flaviviruses. Methods precision and linearity were statistically validated. Each of these systems allowed the detection of less than one infectious particle and was able to detect and serotype quickly dengue virus in human samples where infectious virus cannot be isolated anymore.\nCONCLUSIONS: These systems are valuable tools for dengue virus diagnosis and epidemiological studies. Standardization and validation of these methods allow an easy transfer to diagnostic laboratories.","container-title":"Journal of Clinical Virology: The Official Publication of the Pan American Society for Clinical Virology","DOI":"10.1016/j.jcv.2009.02.010","ISSN":"1873-5967","issue":"1","journalAbbreviation":"J. Clin. Virol.","language":"eng","note":"PMID: 19345140","page":"61-66","source":"PubMed","title":"Development and validation of real-time one-step reverse transcription-PCR for the detection and typing of dengue viruses","volume":"45","author":[{"family":"Leparc-Goffart","given":"Isabelle"},{"family":"Baragatti","given":"Meili"},{"family":"Temmam","given":"Sarah"},{"family":"Tuiskunen","given":"Anne"},{"family":"Moureau","given":"Gregory"},{"family":"Charrel","given":"Rémi"},{"family":"Lamballerie","given":"Xavier","non-dropping-particle":"de"}],"issued":{"date-parts":[["2009",5]]}}}],"schema":"https://github.com/citation-style-language/schema/raw/master/csl-citation.json"} </w:instrText>
      </w:r>
      <w:r>
        <w:fldChar w:fldCharType="separate"/>
      </w:r>
      <w:r w:rsidRPr="006723DD">
        <w:rPr>
          <w:rFonts w:ascii="Calibri" w:hAnsi="Calibri" w:cs="Calibri"/>
        </w:rPr>
        <w:t>[2]</w:t>
      </w:r>
      <w:r>
        <w:fldChar w:fldCharType="end"/>
      </w:r>
      <w:r>
        <w:t xml:space="preserve"> in CSF and serum; NS1 ELISA (Dengue Early ELISA from </w:t>
      </w:r>
      <w:proofErr w:type="spellStart"/>
      <w:r>
        <w:t>Panbio</w:t>
      </w:r>
      <w:proofErr w:type="spellEnd"/>
      <w:r>
        <w:t xml:space="preserve">) in CSF and serum; and ELISA IgM (Japanese Encephalitis/Dengue IgM Combo ELISA from </w:t>
      </w:r>
      <w:proofErr w:type="spellStart"/>
      <w:r>
        <w:t>Panbio</w:t>
      </w:r>
      <w:proofErr w:type="spellEnd"/>
      <w:r>
        <w:t>) in CSF, and in serum at both admission and follow-up</w:t>
      </w:r>
      <w:r w:rsidR="000C7C82">
        <w:t xml:space="preserve"> (if negative at admission but seropositive in a follow-up)</w:t>
      </w:r>
      <w:r>
        <w:t>.</w:t>
      </w:r>
    </w:p>
    <w:p w14:paraId="06A8CE3B" w14:textId="2B965EDB" w:rsidR="006723DD" w:rsidRDefault="006723DD" w:rsidP="006723DD">
      <w:pPr>
        <w:pStyle w:val="ListParagraph"/>
        <w:numPr>
          <w:ilvl w:val="0"/>
          <w:numId w:val="1"/>
        </w:numPr>
      </w:pPr>
      <w:proofErr w:type="spellStart"/>
      <w:r w:rsidRPr="00601742">
        <w:rPr>
          <w:i/>
        </w:rPr>
        <w:t>Flavivirus</w:t>
      </w:r>
      <w:proofErr w:type="spellEnd"/>
      <w:r>
        <w:t xml:space="preserve"> infections were detected using </w:t>
      </w:r>
      <w:r w:rsidR="00E11942">
        <w:t xml:space="preserve">nested </w:t>
      </w:r>
      <w:r>
        <w:t xml:space="preserve">SYBR Green real-time RT-PCR in CSF </w:t>
      </w:r>
      <w:r w:rsidR="00E11942">
        <w:t>and</w:t>
      </w:r>
      <w:r>
        <w:t xml:space="preserve"> serum </w:t>
      </w:r>
      <w:r>
        <w:fldChar w:fldCharType="begin"/>
      </w:r>
      <w:r w:rsidR="009A61DF">
        <w:instrText xml:space="preserve"> ADDIN ZOTERO_ITEM CSL_CITATION {"citationID":"CiyqnMMd","properties":{"formattedCitation":"[3,4]","plainCitation":"[3,4]","noteIndex":0},"citationItems":[{"id":17208,"uris":["http://zotero.org/users/5464174/items/LZ43WGWJ"],"uri":["http://zotero.org/users/5464174/items/LZ43WGWJ"],"itemData":{"id":17208,"type":"article-journal","abstract":"Here we describe an optimized molecular protocol for the universal detection and identification of flaviviruses. It combines the convenient real-time polymerase chain reaction (PCR) format with a broad spectrum of flavivirus detection. This assay, based on the amplification of a 269-272 nt (depending on the flavivirus tested) region at the N terminal end of the NS5 gene, enabled the amplification of 51 flavivirus species and 3 tentative species. Sequencing of the amplicons produced by reverse transcriptase (RT)-PCR permitted the reliable taxonomic identification of flavivirus species by comparison with reference sequences available in databases, using either the BLASTN algorithm or a simple phylogenetic reconstruction. The limit of detection of the assay (2-20,500 copies/reaction depending on the virus tested) allowed the detection of different flaviviruses from a series of human sera or veterinary samples. Altogether, the characteristics of this technique make it a good candidate for the identification of previously identified flaviviruses in cell culture and the investigation of field samples, and also a promising tool for the discovery and identification of new species, including viruses distantly related to \"classical\" arthropod-borne flaviviruses.","container-title":"Vector Borne and Zoonotic Diseases (Larchmont, N.Y.)","DOI":"10.1089/vbz.2007.0206","ISSN":"1530-3667","issue":"4","journalAbbreviation":"Vector Borne Zoonotic Dis.","language":"eng","note":"PMID: 18020965","page":"467-477","source":"PubMed","title":"A real-time RT-PCR method for the universal detection and identification of flaviviruses","volume":"7","author":[{"family":"Moureau","given":"G."},{"family":"Temmam","given":"S."},{"family":"Gonzalez","given":"J. P."},{"family":"Charrel","given":"R. N."},{"family":"Grard","given":"G."},{"family":"Lamballerie","given":"X.","non-dropping-particle":"de"}],"issued":{"date-parts":[["2007"]]}}},{"id":17207,"uris":["http://zotero.org/users/5464174/items/9IXNNPLL"],"uri":["http://zotero.org/users/5464174/items/9IXNNPLL"],"itemData":{"id":17207,"type":"article-journal","abstract":"Sandfly-transmitted phleboviruses, such as Toscana, sandfly fever Sicilian, and sandfly fever Naples, can cause human disease and circulate at high rates in Mediterranean countries. Previous studies have also established that viruses other than phleboviruses may be detected in and isolated from sand flies. The recent detection and isolation (in a large variety of mosquito species) of insect-only flaviviruses related to cell fusing agent virus has indicated that the latter is not an evolutionary remnant but the first discovered member of a group of viruses, larger than initially assumed, that has high genetic heterogeneity. Insect-only flaviviruses have been detected in and/or isolated from various species of mosquitoes, but nevertheless only from mosquitoes to date; other dipterans have not been screened for the presence of insect-only flaviviruses. The possible presence of flaviviruses, including insect-only flaviviruses, was investigated in sand flies collected around the Mediterranean during a trapping campaign already underway. Accordingly, a total of 1508 sand flies trapped in France and Algeria, between August 2006 and July 2007, were tested for the presence of flaviviruses using a PCR assay previously demonstrated experimentally to amplify all recognized members of the genus Flavivirus, including insect-only flaviviruses. Two of 67 pools consisting of male Phlebotomus perniciosus trapped in Algeria were positive. The two resulting sequences formed a monophyletic group and appeared more closely related to insect-only flaviviruses associated with Culex mosquitoes than with Aedes mosquitoes, and more closely related to insect-only flaviviruses than to arthropod-borne or to no-known-vector vertebrate flaviviruses. This is the first description of insect-only flaviviruses in dipterans distinct from those belonging to the family Culicidae (including Aedes, Culex, Mansonia, Culiseta, and Anopheles mosquito genera), namely sand flies within the family Psychodidae. Accordingly, we propose their designation as phlebotomine-associated flaviviruses.","container-title":"Vector Borne and Zoonotic Diseases (Larchmont, N.Y.)","DOI":"10.1089/vbz.2008.0216","ISSN":"1557-7759","issue":"2","journalAbbreviation":"Vector Borne Zoonotic Dis.","language":"eng","note":"PMID: 19492949\nPMCID: PMC3496374","page":"195-197","source":"PubMed","title":"Flavivirus RNA in phlebotomine sandflies","volume":"10","author":[{"family":"Moureau","given":"Gregory"},{"family":"Ninove","given":"Laetitia"},{"family":"Izri","given":"Arezki"},{"family":"Cook","given":"Shelley"},{"family":"De Lamballerie","given":"Xavier"},{"family":"Charrel","given":"Remi N."}],"issued":{"date-parts":[["2010",3]]}}}],"schema":"https://github.com/citation-style-language/schema/raw/master/csl-citation.json"} </w:instrText>
      </w:r>
      <w:r>
        <w:fldChar w:fldCharType="separate"/>
      </w:r>
      <w:r w:rsidRPr="006723DD">
        <w:rPr>
          <w:rFonts w:ascii="Calibri" w:hAnsi="Calibri" w:cs="Calibri"/>
        </w:rPr>
        <w:t>[3,4]</w:t>
      </w:r>
      <w:r>
        <w:fldChar w:fldCharType="end"/>
      </w:r>
      <w:r>
        <w:t xml:space="preserve">. </w:t>
      </w:r>
    </w:p>
    <w:p w14:paraId="14FC5141" w14:textId="2714CC8D" w:rsidR="006723DD" w:rsidRDefault="006723DD" w:rsidP="006723DD">
      <w:pPr>
        <w:pStyle w:val="ListParagraph"/>
        <w:numPr>
          <w:ilvl w:val="0"/>
          <w:numId w:val="1"/>
        </w:numPr>
      </w:pPr>
      <w:r w:rsidRPr="00E01296">
        <w:rPr>
          <w:i/>
        </w:rPr>
        <w:t>Rickettsia</w:t>
      </w:r>
      <w:r>
        <w:t xml:space="preserve"> spp. infections were detected using Hydrolysis probe RT-PCR in CSF </w:t>
      </w:r>
      <w:r>
        <w:fldChar w:fldCharType="begin"/>
      </w:r>
      <w:r w:rsidR="009A61DF">
        <w:instrText xml:space="preserve"> ADDIN ZOTERO_ITEM CSL_CITATION {"citationID":"VzObXm2c","properties":{"formattedCitation":"[5,6]","plainCitation":"[5,6]","noteIndex":0},"citationItems":[{"id":17211,"uris":["http://zotero.org/users/5464174/items/ASD7FJYP"],"uri":["http://zotero.org/users/5464174/items/ASD7FJYP"],"itemData":{"id":17211,"type":"article-journal","abstract":"Two specific and sensitive polymerase chain reaction (PCR) assays were developed to detect and quantitate Orientia tsutsugamushi, the agent of scrub typhus, using a portion of the 47-kD outer membrane protein antigen/ high temperature requirement A gene as the target. A selected 47-kD protein gene primer pair amplified a 118-basepair fragment from all 26 strains of O. tsutsugamushi evaluated, but it did not produce amplicons when 17 Rickettsia and 18 less-related bacterial nucleic acid extracts were tested. Similar agent specificity for the real-time PCR assay, which used the same primers and a 31-basepair fluorescent probe, was demonstrated. This sensitive and quantitative assay determination of the content of O. tsutsugamushi nucleic acid used a plasmid containing the entire 47-kD gene from the Kato strain as a standard. Enumeration of the copies of O. tsutsugamushi DNA extracted from infected tissues from mice and monkeys following experimental infection with Orientia showed 27-5552 copies/microL of mouse blood, 14448-86012 copies/microL of mouse liver/spleen homogenate, and 3-21 copies/microL of monkey blood.","container-title":"The American Journal of Tropical Medicine and Hygiene","ISSN":"0002-9637","issue":"4","journalAbbreviation":"Am. J. Trop. Med. Hyg.","language":"eng","note":"PMID: 15100446","page":"351-356","source":"PubMed","title":"Development of a quantitative real-time polymerase chain reaction assay specific for Orientia tsutsugamushi","volume":"70","author":[{"family":"Jiang","given":"Ju"},{"family":"Chan","given":"Teik-Chye"},{"family":"Temenak","given":"Joseph J."},{"family":"Dasch","given":"Gregory A."},{"family":"Ching","given":"Wei-Mei"},{"family":"Richards","given":"Allen L."}],"issued":{"date-parts":[["2004",4]]}}},{"id":17213,"uris":["http://zotero.org/users/5464174/items/9IFRM5FI"],"uri":["http://zotero.org/users/5464174/items/9IFRM5FI"],"itemData":{"id":17213,"type":"article-journal","abstract":"Rickettsia parkeri, a spotted fever group (SFG) rickettsia recently found to be pathogenic to humans, causes an eschar-associated febrile illness. The R. parkeri rickettsiosis, Tidewater spotted fever, has been misdiagnosed as Rocky Mountain spotted fever due to serologic cross reactivity and the lack of specific diagnostic methods. Candidatus Rickettsia andeanae, also a SFG rickettsia, is a recently described agent of unknown pathogenicity originally identified in ticks collected from domestic animals during a fever outbreak investigation in northern Peru. Among 37 Amblyomma maculatum (collected from humans (n=35) and questing (n=2)) obtained from the southern United States during 2000–2009, nine and four A. maculatum nucleic acid preparations were found positive for R. parkeri and Candidatus R. andeanae, respectively, by newly developed genus- and species-specific quantitative real-time polymerase chain reaction assays. In addition Rickettsia felis was found in two A. maculatum nucleic acid preparations.","container-title":"Vector-Borne and Zoonotic Diseases","DOI":"10.1089/vbz.2011.0614","ISSN":"1530-3667","issue":"3","journalAbbreviation":"Vector-Borne and Zoonotic Diseases","page":"175-182","source":"liebertpub.com (Atypon)","title":"Detection of Rickettsia parkeri and Candidatus Rickettsia andeanae in Amblyomma maculatum Gulf Coast Ticks Collected from Humans in the United States","volume":"12","author":[{"family":"Jiang","given":"Ju"},{"family":"Stromdahl","given":"Ellen Y."},{"family":"Richards","given":"Allen L."}],"issued":{"date-parts":[["2011",10,24]]}}}],"schema":"https://github.com/citation-style-language/schema/raw/master/csl-citation.json"} </w:instrText>
      </w:r>
      <w:r>
        <w:fldChar w:fldCharType="separate"/>
      </w:r>
      <w:r w:rsidRPr="006723DD">
        <w:rPr>
          <w:rFonts w:ascii="Calibri" w:hAnsi="Calibri" w:cs="Calibri"/>
        </w:rPr>
        <w:t>[5,6]</w:t>
      </w:r>
      <w:r>
        <w:fldChar w:fldCharType="end"/>
      </w:r>
      <w:r>
        <w:t xml:space="preserve">; Hydrolysis probe real time PCR and conventional PCR from buffy coat; and genetic sequencing.   </w:t>
      </w:r>
    </w:p>
    <w:p w14:paraId="2EC5D759" w14:textId="042D814E" w:rsidR="006723DD" w:rsidRPr="000626A2" w:rsidRDefault="006723DD" w:rsidP="006723DD">
      <w:pPr>
        <w:pStyle w:val="ListParagraph"/>
        <w:numPr>
          <w:ilvl w:val="0"/>
          <w:numId w:val="1"/>
        </w:numPr>
      </w:pPr>
      <w:r w:rsidRPr="00E01296">
        <w:rPr>
          <w:i/>
        </w:rPr>
        <w:t xml:space="preserve">R. </w:t>
      </w:r>
      <w:proofErr w:type="spellStart"/>
      <w:r w:rsidRPr="00E01296">
        <w:rPr>
          <w:i/>
        </w:rPr>
        <w:t>typhi</w:t>
      </w:r>
      <w:proofErr w:type="spellEnd"/>
      <w:r>
        <w:t xml:space="preserve"> and </w:t>
      </w:r>
      <w:proofErr w:type="spellStart"/>
      <w:r w:rsidRPr="00E01296">
        <w:rPr>
          <w:i/>
        </w:rPr>
        <w:t>Orientia</w:t>
      </w:r>
      <w:proofErr w:type="spellEnd"/>
      <w:r w:rsidRPr="00E01296">
        <w:rPr>
          <w:i/>
        </w:rPr>
        <w:t xml:space="preserve"> </w:t>
      </w:r>
      <w:proofErr w:type="spellStart"/>
      <w:r w:rsidRPr="00E01296">
        <w:rPr>
          <w:i/>
        </w:rPr>
        <w:t>tsutsugamushi</w:t>
      </w:r>
      <w:proofErr w:type="spellEnd"/>
      <w:r>
        <w:t xml:space="preserve"> infections were detected using Hydrolysis probe real time PCR in CSF </w:t>
      </w:r>
      <w:r>
        <w:fldChar w:fldCharType="begin"/>
      </w:r>
      <w:r w:rsidR="009A61DF">
        <w:instrText xml:space="preserve"> ADDIN ZOTERO_ITEM CSL_CITATION {"citationID":"EYOfvESB","properties":{"formattedCitation":"[5,6]","plainCitation":"[5,6]","noteIndex":0},"citationItems":[{"id":17211,"uris":["http://zotero.org/users/5464174/items/ASD7FJYP"],"uri":["http://zotero.org/users/5464174/items/ASD7FJYP"],"itemData":{"id":17211,"type":"article-journal","abstract":"Two specific and sensitive polymerase chain reaction (PCR) assays were developed to detect and quantitate Orientia tsutsugamushi, the agent of scrub typhus, using a portion of the 47-kD outer membrane protein antigen/ high temperature requirement A gene as the target. A selected 47-kD protein gene primer pair amplified a 118-basepair fragment from all 26 strains of O. tsutsugamushi evaluated, but it did not produce amplicons when 17 Rickettsia and 18 less-related bacterial nucleic acid extracts were tested. Similar agent specificity for the real-time PCR assay, which used the same primers and a 31-basepair fluorescent probe, was demonstrated. This sensitive and quantitative assay determination of the content of O. tsutsugamushi nucleic acid used a plasmid containing the entire 47-kD gene from the Kato strain as a standard. Enumeration of the copies of O. tsutsugamushi DNA extracted from infected tissues from mice and monkeys following experimental infection with Orientia showed 27-5552 copies/microL of mouse blood, 14448-86012 copies/microL of mouse liver/spleen homogenate, and 3-21 copies/microL of monkey blood.","container-title":"The American Journal of Tropical Medicine and Hygiene","ISSN":"0002-9637","issue":"4","journalAbbreviation":"Am. J. Trop. Med. Hyg.","language":"eng","note":"PMID: 15100446","page":"351-356","source":"PubMed","title":"Development of a quantitative real-time polymerase chain reaction assay specific for Orientia tsutsugamushi","volume":"70","author":[{"family":"Jiang","given":"Ju"},{"family":"Chan","given":"Teik-Chye"},{"family":"Temenak","given":"Joseph J."},{"family":"Dasch","given":"Gregory A."},{"family":"Ching","given":"Wei-Mei"},{"family":"Richards","given":"Allen L."}],"issued":{"date-parts":[["2004",4]]}}},{"id":17213,"uris":["http://zotero.org/users/5464174/items/9IFRM5FI"],"uri":["http://zotero.org/users/5464174/items/9IFRM5FI"],"itemData":{"id":17213,"type":"article-journal","abstract":"Rickettsia parkeri, a spotted fever group (SFG) rickettsia recently found to be pathogenic to humans, causes an eschar-associated febrile illness. The R. parkeri rickettsiosis, Tidewater spotted fever, has been misdiagnosed as Rocky Mountain spotted fever due to serologic cross reactivity and the lack of specific diagnostic methods. Candidatus Rickettsia andeanae, also a SFG rickettsia, is a recently described agent of unknown pathogenicity originally identified in ticks collected from domestic animals during a fever outbreak investigation in northern Peru. Among 37 Amblyomma maculatum (collected from humans (n=35) and questing (n=2)) obtained from the southern United States during 2000–2009, nine and four A. maculatum nucleic acid preparations were found positive for R. parkeri and Candidatus R. andeanae, respectively, by newly developed genus- and species-specific quantitative real-time polymerase chain reaction assays. In addition Rickettsia felis was found in two A. maculatum nucleic acid preparations.","container-title":"Vector-Borne and Zoonotic Diseases","DOI":"10.1089/vbz.2011.0614","ISSN":"1530-3667","issue":"3","journalAbbreviation":"Vector-Borne and Zoonotic Diseases","page":"175-182","source":"liebertpub.com (Atypon)","title":"Detection of Rickettsia parkeri and Candidatus Rickettsia andeanae in Amblyomma maculatum Gulf Coast Ticks Collected from Humans in the United States","volume":"12","author":[{"family":"Jiang","given":"Ju"},{"family":"Stromdahl","given":"Ellen Y."},{"family":"Richards","given":"Allen L."}],"issued":{"date-parts":[["2011",10,24]]}}}],"schema":"https://github.com/citation-style-language/schema/raw/master/csl-citation.json"} </w:instrText>
      </w:r>
      <w:r>
        <w:fldChar w:fldCharType="separate"/>
      </w:r>
      <w:r w:rsidRPr="006723DD">
        <w:rPr>
          <w:rFonts w:ascii="Calibri" w:hAnsi="Calibri" w:cs="Calibri"/>
        </w:rPr>
        <w:t>[5,6]</w:t>
      </w:r>
      <w:r>
        <w:fldChar w:fldCharType="end"/>
      </w:r>
      <w:r>
        <w:t xml:space="preserve">; Hydrolysis probe real time PCR </w:t>
      </w:r>
      <w:r w:rsidR="0034206A">
        <w:t>from buffy coat</w:t>
      </w:r>
      <w:r>
        <w:t>; and IgM and IgG assays from admission and follow-up</w:t>
      </w:r>
      <w:r w:rsidR="0034206A">
        <w:t xml:space="preserve"> serum</w:t>
      </w:r>
      <w:r w:rsidR="000C7C82">
        <w:t xml:space="preserve"> (if there was a </w:t>
      </w:r>
      <w:r w:rsidR="000C7C82" w:rsidRPr="00601742">
        <w:rPr>
          <w:u w:val="single"/>
        </w:rPr>
        <w:t>&gt;</w:t>
      </w:r>
      <w:r w:rsidR="000C7C82">
        <w:t xml:space="preserve"> 4-fold rise in antibody at follow-up)</w:t>
      </w:r>
      <w:r>
        <w:t xml:space="preserve"> </w:t>
      </w:r>
      <w:r>
        <w:fldChar w:fldCharType="begin"/>
      </w:r>
      <w:r w:rsidR="009A61DF">
        <w:instrText xml:space="preserve"> ADDIN ZOTERO_ITEM CSL_CITATION {"citationID":"963pZJea","properties":{"formattedCitation":"[7]","plainCitation":"[7]","noteIndex":0},"citationItems":[{"id":17210,"uris":["http://zotero.org/users/5464174/items/BWGGWWRB"],"uri":["http://zotero.org/users/5464174/items/BWGGWWRB"],"itemData":{"id":17210,"type":"article-journal","abstract":"We performed indirect immunofluorescence assays (IFAs) to compare levels of IgM and IgG antibodies to Orientia tsutsugamushi and Rickettsia typhi in admission-phase serum samples and filter paper blood spots (assayed immediately and stored at 5.4°C and 29°C for 30 days) collected on the same day from 53 adults with suspected scrub typhus and murine typhus admitted to Mahosot Hospital Vientiane, Lao People’s Democratic Republic. The sensitivities and specificities of admission-phase filter paper blood spots in comparison to paired sera were between 91% and 95% and 87% and 100%, respectively, for the diagnosis of scrub typhus and murine typhus. The classification of patients as having or not having typhus did not significantly differ after storage of the blood spots for 30 days (P &amp;gt; 0.4) at 5.4°C and 29°C. Because filter paper blood samples do not require sophisticated and expensive storage and transport, they may be an appropriate specimen collection technique for the diagnosis of rickettsial disease in the rural tropics.","container-title":"The American Journal of Tropical Medicine and Hygiene","DOI":"10.4269/ajtmh.2009.80.837","ISSN":"0002-9637, 1476-1645","issue":"5","language":"en","page":"837-840","source":"www.ajtmh.org","title":"Comparison of Indirect Immunofluorescence Assays for Diagnosis of Scrub Typhus and Murine Typhus Using Venous Blood and Finger Prick Filter Paper Blood Spots","volume":"80","author":[{"family":"Phetsouvanh","given":"Rattanaphone"},{"family":"Blacksell","given":"Stuart D."},{"family":"Jenjaroen","given":"Kemajittra"},{"family":"Day","given":"Nicholas P. J."},{"family":"Newton","given":"Paul N."}],"issued":{"date-parts":[["2009",5,1]]}}}],"schema":"https://github.com/citation-style-language/schema/raw/master/csl-citation.json"} </w:instrText>
      </w:r>
      <w:r>
        <w:fldChar w:fldCharType="separate"/>
      </w:r>
      <w:r w:rsidRPr="006723DD">
        <w:rPr>
          <w:rFonts w:ascii="Calibri" w:hAnsi="Calibri" w:cs="Calibri"/>
        </w:rPr>
        <w:t>[7]</w:t>
      </w:r>
      <w:r>
        <w:fldChar w:fldCharType="end"/>
      </w:r>
      <w:r>
        <w:t xml:space="preserve">.  </w:t>
      </w:r>
    </w:p>
    <w:p w14:paraId="76E335AA" w14:textId="0AEE2F20" w:rsidR="006723DD" w:rsidRDefault="006723DD" w:rsidP="006723DD">
      <w:pPr>
        <w:pStyle w:val="ListParagraph"/>
        <w:numPr>
          <w:ilvl w:val="0"/>
          <w:numId w:val="1"/>
        </w:numPr>
      </w:pPr>
      <w:proofErr w:type="spellStart"/>
      <w:r w:rsidRPr="00E01296">
        <w:rPr>
          <w:i/>
        </w:rPr>
        <w:t>Leptospira</w:t>
      </w:r>
      <w:proofErr w:type="spellEnd"/>
      <w:r>
        <w:t xml:space="preserve"> spp. infections were detected using hydrolysis probe real-time PCR in CSF </w:t>
      </w:r>
      <w:r>
        <w:fldChar w:fldCharType="begin"/>
      </w:r>
      <w:r w:rsidR="009A61DF">
        <w:instrText xml:space="preserve"> ADDIN ZOTERO_ITEM CSL_CITATION {"citationID":"HjEXyMYq","properties":{"formattedCitation":"[8]","plainCitation":"[8]","noteIndex":0},"citationItems":[{"id":17216,"uris":["http://zotero.org/users/5464174/items/FC9P4UNZ"],"uri":["http://zotero.org/users/5464174/items/FC9P4UNZ"],"itemData":{"id":17216,"type":"article-journal","abstract":"Background Rapid PCR-based tests for the diagnosis of leptospirosis can provide information that contributes towards early patient management, but these have not been adopted in Thailand. Here, we compare the diagnostic sensitivity and specificity of two real-time PCR assays targeting rrs or lipL32 for the diagnosis of leptospirosis in northeast Thailand. Methods/Principal Findings A case-control study of 266 patients (133 cases of leptospirosis and 133 controls) was constructed to evaluate the diagnostic sensitivity and specificity (DSe &amp; DSp) of both PCR assays. The median duration of illness prior to admission of cases was 4 days (IQR 2–5 days; range 1–12 days). DSe and DSp were determined using positive culture and/or microscopic agglutination test (MAT) as the gold standard. The DSe was higher for the rrs assay than the lipL32 assay (56%, (95% CI 47–64%) versus 43%, (95% CI 34–52%), p&lt;0.001). No cases were positive for the lipL32 assay alone. There was borderline evidence to suggest that the DSp of the rrs assay was lower than the lipL32 assay (90% (95% CI 83–94%) versus 93%, (95%CI 88–97%), p = 0.06). Nine controls gave positive reactions for both assays and 5 controls gave a positive reaction for the rrs assay alone. The DSe of the rrs and lipL32 assays were high in the subgroup of 39 patients who were culture positive for Leptospira spp. (95% and 87%, respectively, p = 0.25). Conclusions/Significance Early detection of Leptospira using PCR is possible for more than half of patients presenting with leptospirosis and could contribute to individual patient care.","container-title":"PLOS ONE","DOI":"10.1371/journal.pone.0016236","ISSN":"1932-6203","issue":"1","journalAbbreviation":"PLOS ONE","language":"en","page":"e16236","source":"PLoS Journals","title":"Diagnostic Accuracy of Real-Time PCR Assays Targeting 16S rRNA and lipl32 Genes for Human Leptospirosis in Thailand: A Case-Control Study","title-short":"Diagnostic Accuracy of Real-Time PCR Assays Targeting 16S rRNA and lipl32 Genes for Human Leptospirosis in Thailand","volume":"6","author":[{"family":"Thaipadunpanit","given":"Janjira"},{"family":"Chierakul","given":"Wirongrong"},{"family":"Wuthiekanun","given":"Vanaporn"},{"family":"Limmathurotsakul","given":"Direk"},{"family":"Amornchai","given":"Premjit"},{"family":"Boonslip","given":"Siriphan"},{"family":"Smythe","given":"Lee D."},{"family":"Limpaiboon","given":"Roongrueng"},{"family":"Hoffmaster","given":"Alex R."},{"family":"Day","given":"Nicholas P. J."},{"family":"Peacock","given":"Sharon J."}],"issued":{"date-parts":[["2011",1,24]]}}}],"schema":"https://github.com/citation-style-language/schema/raw/master/csl-citation.json"} </w:instrText>
      </w:r>
      <w:r>
        <w:fldChar w:fldCharType="separate"/>
      </w:r>
      <w:r w:rsidRPr="006723DD">
        <w:rPr>
          <w:rFonts w:ascii="Calibri" w:hAnsi="Calibri" w:cs="Calibri"/>
        </w:rPr>
        <w:t>[8]</w:t>
      </w:r>
      <w:r>
        <w:fldChar w:fldCharType="end"/>
      </w:r>
      <w:r>
        <w:t>; culturing of blood clot on EMJH medium; microscopic agglutination tests at admission and follow-up</w:t>
      </w:r>
      <w:r w:rsidR="000C7C82">
        <w:t xml:space="preserve"> (if there was a </w:t>
      </w:r>
      <w:r w:rsidR="000C7C82" w:rsidRPr="00C15798">
        <w:rPr>
          <w:u w:val="single"/>
        </w:rPr>
        <w:t>&gt;</w:t>
      </w:r>
      <w:r w:rsidR="000C7C82">
        <w:t xml:space="preserve"> 4-fold rise in antibody at follow-up)</w:t>
      </w:r>
      <w:r>
        <w:fldChar w:fldCharType="begin"/>
      </w:r>
      <w:r w:rsidR="009A61DF">
        <w:instrText xml:space="preserve"> ADDIN ZOTERO_ITEM CSL_CITATION {"citationID":"PXgNwBA8","properties":{"formattedCitation":"[9]","plainCitation":"[9]","noteIndex":0},"citationItems":[{"id":17215,"uris":["http://zotero.org/users/5464174/items/UU97F62W"],"uri":["http://zotero.org/users/5464174/items/UU97F62W"],"itemData":{"id":17215,"type":"article-journal","abstract":"A method for improving the original Galton microtechnique for detecting leptospiral antibodies has been developed. Simultaneous titrations were performed on 281 animal and human sera and 17 hyperimmune sera with the microscopic agglutination (MA) test and the improved microtechnique. Reproducibility of the improved microtechnique was determined independently on 65 animal sera by two laboratory sections. The results obtained by comparing positive test data from human and animal sera indicated that agreement between the original MA test and this new method exceeded 94%, whereas the original Galton microtechnique and the original MA test agreed in a maximum of 77% of the tests. This study indicates that the results obtained with the improved microtechnique are much more comparable to results obtained with the original MA test than are those obtained with the original Galton microtechnique.","container-title":"Applied Microbiology","ISSN":"0003-6919","issue":"6","journalAbbreviation":"Appl Microbiol","note":"PMID: 4736794\nPMCID: PMC380950","page":"976-980","source":"PubMed Central","title":"Improved Microtechnique for the Leptospiral Microscopic Agglutination Test1","volume":"25","author":[{"family":"Cole","given":"John R."},{"family":"Sulzer","given":"Catherine R."},{"family":"Pursell","given":"Alfred R."}],"issued":{"date-parts":[["1973",6]]}}}],"schema":"https://github.com/citation-style-language/schema/raw/master/csl-citation.json"} </w:instrText>
      </w:r>
      <w:r>
        <w:fldChar w:fldCharType="separate"/>
      </w:r>
      <w:r w:rsidRPr="006723DD">
        <w:rPr>
          <w:rFonts w:ascii="Calibri" w:hAnsi="Calibri" w:cs="Calibri"/>
        </w:rPr>
        <w:t>[9]</w:t>
      </w:r>
      <w:r>
        <w:fldChar w:fldCharType="end"/>
      </w:r>
      <w:r>
        <w:t xml:space="preserve">; and hydrolysis probe real time RT-PCR from buffy coat </w:t>
      </w:r>
      <w:r>
        <w:fldChar w:fldCharType="begin"/>
      </w:r>
      <w:r w:rsidR="009A61DF">
        <w:instrText xml:space="preserve"> ADDIN ZOTERO_ITEM CSL_CITATION {"citationID":"RDRgN5B8","properties":{"formattedCitation":"[8]","plainCitation":"[8]","noteIndex":0},"citationItems":[{"id":17216,"uris":["http://zotero.org/users/5464174/items/FC9P4UNZ"],"uri":["http://zotero.org/users/5464174/items/FC9P4UNZ"],"itemData":{"id":17216,"type":"article-journal","abstract":"Background Rapid PCR-based tests for the diagnosis of leptospirosis can provide information that contributes towards early patient management, but these have not been adopted in Thailand. Here, we compare the diagnostic sensitivity and specificity of two real-time PCR assays targeting rrs or lipL32 for the diagnosis of leptospirosis in northeast Thailand. Methods/Principal Findings A case-control study of 266 patients (133 cases of leptospirosis and 133 controls) was constructed to evaluate the diagnostic sensitivity and specificity (DSe &amp; DSp) of both PCR assays. The median duration of illness prior to admission of cases was 4 days (IQR 2–5 days; range 1–12 days). DSe and DSp were determined using positive culture and/or microscopic agglutination test (MAT) as the gold standard. The DSe was higher for the rrs assay than the lipL32 assay (56%, (95% CI 47–64%) versus 43%, (95% CI 34–52%), p&lt;0.001). No cases were positive for the lipL32 assay alone. There was borderline evidence to suggest that the DSp of the rrs assay was lower than the lipL32 assay (90% (95% CI 83–94%) versus 93%, (95%CI 88–97%), p = 0.06). Nine controls gave positive reactions for both assays and 5 controls gave a positive reaction for the rrs assay alone. The DSe of the rrs and lipL32 assays were high in the subgroup of 39 patients who were culture positive for Leptospira spp. (95% and 87%, respectively, p = 0.25). Conclusions/Significance Early detection of Leptospira using PCR is possible for more than half of patients presenting with leptospirosis and could contribute to individual patient care.","container-title":"PLOS ONE","DOI":"10.1371/journal.pone.0016236","ISSN":"1932-6203","issue":"1","journalAbbreviation":"PLOS ONE","language":"en","page":"e16236","source":"PLoS Journals","title":"Diagnostic Accuracy of Real-Time PCR Assays Targeting 16S rRNA and lipl32 Genes for Human Leptospirosis in Thailand: A Case-Control Study","title-short":"Diagnostic Accuracy of Real-Time PCR Assays Targeting 16S rRNA and lipl32 Genes for Human Leptospirosis in Thailand","volume":"6","author":[{"family":"Thaipadunpanit","given":"Janjira"},{"family":"Chierakul","given":"Wirongrong"},{"family":"Wuthiekanun","given":"Vanaporn"},{"family":"Limmathurotsakul","given":"Direk"},{"family":"Amornchai","given":"Premjit"},{"family":"Boonslip","given":"Siriphan"},{"family":"Smythe","given":"Lee D."},{"family":"Limpaiboon","given":"Roongrueng"},{"family":"Hoffmaster","given":"Alex R."},{"family":"Day","given":"Nicholas P. J."},{"family":"Peacock","given":"Sharon J."}],"issued":{"date-parts":[["2011",1,24]]}}}],"schema":"https://github.com/citation-style-language/schema/raw/master/csl-citation.json"} </w:instrText>
      </w:r>
      <w:r>
        <w:fldChar w:fldCharType="separate"/>
      </w:r>
      <w:r w:rsidRPr="006723DD">
        <w:rPr>
          <w:rFonts w:ascii="Calibri" w:hAnsi="Calibri" w:cs="Calibri"/>
        </w:rPr>
        <w:t>[8]</w:t>
      </w:r>
      <w:r>
        <w:fldChar w:fldCharType="end"/>
      </w:r>
      <w:r>
        <w:t>.</w:t>
      </w:r>
    </w:p>
    <w:p w14:paraId="058EADC7" w14:textId="77777777" w:rsidR="006723DD" w:rsidRDefault="006723DD" w:rsidP="006723DD">
      <w:r>
        <w:t xml:space="preserve">The final etiology was determined based on the panel of diagnostic tests, including direct detection of pathogens in CSF or blood, IgM in CSF, seroconversion, or a 4-fold increase in antibody titer between the date of admission and follow-up serum samples. When more than 1 pathogen was present, direct tests were prioritized over indirect tests and presence in the CSF was prioritized over presence in the blood. </w:t>
      </w:r>
    </w:p>
    <w:p w14:paraId="4DAD57E0" w14:textId="77777777" w:rsidR="006723DD" w:rsidRDefault="006723DD" w:rsidP="00811738">
      <w:pPr>
        <w:rPr>
          <w:b/>
        </w:rPr>
      </w:pPr>
    </w:p>
    <w:p w14:paraId="0E110924" w14:textId="77777777" w:rsidR="00066A1A" w:rsidRDefault="00066A1A" w:rsidP="00811738">
      <w:pPr>
        <w:rPr>
          <w:b/>
        </w:rPr>
      </w:pPr>
    </w:p>
    <w:p w14:paraId="3E98589C" w14:textId="77777777" w:rsidR="00066A1A" w:rsidRDefault="00066A1A" w:rsidP="00811738">
      <w:pPr>
        <w:rPr>
          <w:b/>
        </w:rPr>
      </w:pPr>
    </w:p>
    <w:p w14:paraId="758C2ACA" w14:textId="77777777" w:rsidR="00066A1A" w:rsidRDefault="00066A1A" w:rsidP="00811738">
      <w:pPr>
        <w:rPr>
          <w:b/>
        </w:rPr>
      </w:pPr>
    </w:p>
    <w:p w14:paraId="7F7561A6" w14:textId="77777777" w:rsidR="009A61DF" w:rsidRDefault="009A61DF">
      <w:pPr>
        <w:rPr>
          <w:b/>
        </w:rPr>
      </w:pPr>
    </w:p>
    <w:p w14:paraId="4E571E8E" w14:textId="5CDC033F" w:rsidR="00A94165" w:rsidRPr="003E5858" w:rsidRDefault="00895501">
      <w:pPr>
        <w:rPr>
          <w:b/>
        </w:rPr>
      </w:pPr>
      <w:r>
        <w:rPr>
          <w:b/>
        </w:rPr>
        <w:lastRenderedPageBreak/>
        <w:t xml:space="preserve">SUPPLEMENTAL </w:t>
      </w:r>
      <w:r w:rsidR="003E5858" w:rsidRPr="003E5858">
        <w:rPr>
          <w:b/>
        </w:rPr>
        <w:t>REFERENCES</w:t>
      </w:r>
    </w:p>
    <w:p w14:paraId="09BE731B" w14:textId="6E92A4AE" w:rsidR="009A61DF" w:rsidRPr="009A61DF" w:rsidRDefault="003E5858" w:rsidP="009A61DF">
      <w:pPr>
        <w:pStyle w:val="Bibliography"/>
        <w:rPr>
          <w:rFonts w:ascii="Calibri" w:hAnsi="Calibri" w:cs="Calibri"/>
          <w:szCs w:val="24"/>
        </w:rPr>
      </w:pPr>
      <w:r>
        <w:fldChar w:fldCharType="begin"/>
      </w:r>
      <w:r w:rsidR="009A61DF">
        <w:instrText xml:space="preserve"> ADDIN ZOTERO_BIBL {"uncited":[],"omitted":[],"custom":[]} CSL_BIBLIOGRAPHY </w:instrText>
      </w:r>
      <w:r>
        <w:fldChar w:fldCharType="separate"/>
      </w:r>
      <w:r w:rsidR="009A61DF" w:rsidRPr="009A61DF">
        <w:rPr>
          <w:rFonts w:ascii="Calibri" w:hAnsi="Calibri" w:cs="Calibri"/>
          <w:szCs w:val="24"/>
        </w:rPr>
        <w:t xml:space="preserve">1. Dubot-Pérès A, Mayxay M, Phetsouvanh R, Lee SJ, Rattanavong S, Vongsouvath M, et al. Management of Central Nervous System Infections, Vientiane, Laos, 2003–2011. Emerg Infect Dis. 2019;25:898–910. </w:t>
      </w:r>
    </w:p>
    <w:p w14:paraId="6A527F50" w14:textId="77777777" w:rsidR="009A61DF" w:rsidRPr="009A61DF" w:rsidRDefault="009A61DF" w:rsidP="009A61DF">
      <w:pPr>
        <w:pStyle w:val="Bibliography"/>
        <w:rPr>
          <w:rFonts w:ascii="Calibri" w:hAnsi="Calibri" w:cs="Calibri"/>
          <w:szCs w:val="24"/>
        </w:rPr>
      </w:pPr>
      <w:r w:rsidRPr="009A61DF">
        <w:rPr>
          <w:rFonts w:ascii="Calibri" w:hAnsi="Calibri" w:cs="Calibri"/>
          <w:szCs w:val="24"/>
        </w:rPr>
        <w:t xml:space="preserve">2. Leparc-Goffart I, Baragatti M, Temmam S, Tuiskunen A, Moureau G, Charrel R, et al. Development and validation of real-time one-step reverse transcription-PCR for the detection and typing of dengue viruses. J Clin Virol. 2009;45:61–6. </w:t>
      </w:r>
    </w:p>
    <w:p w14:paraId="79EB1C37" w14:textId="77777777" w:rsidR="009A61DF" w:rsidRPr="009A61DF" w:rsidRDefault="009A61DF" w:rsidP="009A61DF">
      <w:pPr>
        <w:pStyle w:val="Bibliography"/>
        <w:rPr>
          <w:rFonts w:ascii="Calibri" w:hAnsi="Calibri" w:cs="Calibri"/>
          <w:szCs w:val="24"/>
        </w:rPr>
      </w:pPr>
      <w:r w:rsidRPr="009A61DF">
        <w:rPr>
          <w:rFonts w:ascii="Calibri" w:hAnsi="Calibri" w:cs="Calibri"/>
          <w:szCs w:val="24"/>
        </w:rPr>
        <w:t xml:space="preserve">3. Moureau G, Temmam S, Gonzalez JP, Charrel RN, Grard G, de Lamballerie X. A real-time RT-PCR method for the universal detection and identification of flaviviruses. Vector Borne Zoonotic Dis. 2007;7:467–77. </w:t>
      </w:r>
    </w:p>
    <w:p w14:paraId="4BA6695C" w14:textId="77777777" w:rsidR="009A61DF" w:rsidRPr="009A61DF" w:rsidRDefault="009A61DF" w:rsidP="009A61DF">
      <w:pPr>
        <w:pStyle w:val="Bibliography"/>
        <w:rPr>
          <w:rFonts w:ascii="Calibri" w:hAnsi="Calibri" w:cs="Calibri"/>
          <w:szCs w:val="24"/>
        </w:rPr>
      </w:pPr>
      <w:r w:rsidRPr="009A61DF">
        <w:rPr>
          <w:rFonts w:ascii="Calibri" w:hAnsi="Calibri" w:cs="Calibri"/>
          <w:szCs w:val="24"/>
        </w:rPr>
        <w:t xml:space="preserve">4. Moureau G, Ninove L, Izri A, Cook S, De Lamballerie X, Charrel RN. Flavivirus RNA in phlebotomine sandflies. Vector Borne Zoonotic Dis. 2010;10:195–7. </w:t>
      </w:r>
    </w:p>
    <w:p w14:paraId="4A24C02B" w14:textId="77777777" w:rsidR="009A61DF" w:rsidRPr="009A61DF" w:rsidRDefault="009A61DF" w:rsidP="009A61DF">
      <w:pPr>
        <w:pStyle w:val="Bibliography"/>
        <w:rPr>
          <w:rFonts w:ascii="Calibri" w:hAnsi="Calibri" w:cs="Calibri"/>
          <w:szCs w:val="24"/>
        </w:rPr>
      </w:pPr>
      <w:r w:rsidRPr="009A61DF">
        <w:rPr>
          <w:rFonts w:ascii="Calibri" w:hAnsi="Calibri" w:cs="Calibri"/>
          <w:szCs w:val="24"/>
        </w:rPr>
        <w:t xml:space="preserve">5. Jiang J, Chan T-C, Temenak JJ, Dasch GA, Ching W-M, Richards AL. Development of a quantitative real-time polymerase chain reaction assay specific for Orientia tsutsugamushi. Am J Trop Med Hyg. 2004;70:351–6. </w:t>
      </w:r>
    </w:p>
    <w:p w14:paraId="7EED11FA" w14:textId="77777777" w:rsidR="009A61DF" w:rsidRPr="009A61DF" w:rsidRDefault="009A61DF" w:rsidP="009A61DF">
      <w:pPr>
        <w:pStyle w:val="Bibliography"/>
        <w:rPr>
          <w:rFonts w:ascii="Calibri" w:hAnsi="Calibri" w:cs="Calibri"/>
          <w:szCs w:val="24"/>
        </w:rPr>
      </w:pPr>
      <w:r w:rsidRPr="009A61DF">
        <w:rPr>
          <w:rFonts w:ascii="Calibri" w:hAnsi="Calibri" w:cs="Calibri"/>
          <w:szCs w:val="24"/>
        </w:rPr>
        <w:t xml:space="preserve">6. Jiang J, Stromdahl EY, Richards AL. Detection of Rickettsia parkeri and Candidatus Rickettsia andeanae in Amblyomma maculatum Gulf Coast Ticks Collected from Humans in the United States. Vector-Borne and Zoonotic Diseases. 2011;12:175–82. </w:t>
      </w:r>
    </w:p>
    <w:p w14:paraId="67D79449" w14:textId="77777777" w:rsidR="009A61DF" w:rsidRPr="009A61DF" w:rsidRDefault="009A61DF" w:rsidP="009A61DF">
      <w:pPr>
        <w:pStyle w:val="Bibliography"/>
        <w:rPr>
          <w:rFonts w:ascii="Calibri" w:hAnsi="Calibri" w:cs="Calibri"/>
          <w:szCs w:val="24"/>
        </w:rPr>
      </w:pPr>
      <w:r w:rsidRPr="009A61DF">
        <w:rPr>
          <w:rFonts w:ascii="Calibri" w:hAnsi="Calibri" w:cs="Calibri"/>
          <w:szCs w:val="24"/>
        </w:rPr>
        <w:t xml:space="preserve">7. Phetsouvanh R, Blacksell SD, Jenjaroen K, Day NPJ, Newton PN. Comparison of Indirect Immunofluorescence Assays for Diagnosis of Scrub Typhus and Murine Typhus Using Venous Blood and Finger Prick Filter Paper Blood Spots. The American Journal of Tropical Medicine and Hygiene. 2009;80:837–40. </w:t>
      </w:r>
    </w:p>
    <w:p w14:paraId="5460A715" w14:textId="77777777" w:rsidR="009A61DF" w:rsidRPr="009A61DF" w:rsidRDefault="009A61DF" w:rsidP="009A61DF">
      <w:pPr>
        <w:pStyle w:val="Bibliography"/>
        <w:rPr>
          <w:rFonts w:ascii="Calibri" w:hAnsi="Calibri" w:cs="Calibri"/>
          <w:szCs w:val="24"/>
        </w:rPr>
      </w:pPr>
      <w:r w:rsidRPr="009A61DF">
        <w:rPr>
          <w:rFonts w:ascii="Calibri" w:hAnsi="Calibri" w:cs="Calibri"/>
          <w:szCs w:val="24"/>
        </w:rPr>
        <w:t xml:space="preserve">8. Thaipadunpanit J, Chierakul W, Wuthiekanun V, Limmathurotsakul D, Amornchai P, Boonslip S, et al. Diagnostic Accuracy of Real-Time PCR Assays Targeting 16S rRNA and lipl32 Genes for Human Leptospirosis in Thailand: A Case-Control Study. PLOS ONE. 2011;6:e16236. </w:t>
      </w:r>
    </w:p>
    <w:p w14:paraId="1AF6C66B" w14:textId="77777777" w:rsidR="009A61DF" w:rsidRPr="009A61DF" w:rsidRDefault="009A61DF" w:rsidP="009A61DF">
      <w:pPr>
        <w:pStyle w:val="Bibliography"/>
        <w:rPr>
          <w:rFonts w:ascii="Calibri" w:hAnsi="Calibri" w:cs="Calibri"/>
          <w:szCs w:val="24"/>
        </w:rPr>
      </w:pPr>
      <w:r w:rsidRPr="009A61DF">
        <w:rPr>
          <w:rFonts w:ascii="Calibri" w:hAnsi="Calibri" w:cs="Calibri"/>
          <w:szCs w:val="24"/>
        </w:rPr>
        <w:t xml:space="preserve">9. Cole JR, Sulzer CR, Pursell AR. Improved Microtechnique for the Leptospiral Microscopic Agglutination Test1. Appl Microbiol. 1973;25:976–80. </w:t>
      </w:r>
    </w:p>
    <w:p w14:paraId="661B776E" w14:textId="77777777" w:rsidR="003E5858" w:rsidRDefault="003E5858">
      <w:r>
        <w:fldChar w:fldCharType="end"/>
      </w:r>
    </w:p>
    <w:sectPr w:rsidR="003E5858" w:rsidSect="002E65B5">
      <w:headerReference w:type="default" r:id="rId7"/>
      <w:pgSz w:w="12240" w:h="15840"/>
      <w:pgMar w:top="1440" w:right="72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911F55" w14:textId="77777777" w:rsidR="00E77A74" w:rsidRDefault="00E77A74" w:rsidP="00404AC9">
      <w:pPr>
        <w:spacing w:after="0" w:line="240" w:lineRule="auto"/>
      </w:pPr>
      <w:r>
        <w:separator/>
      </w:r>
    </w:p>
  </w:endnote>
  <w:endnote w:type="continuationSeparator" w:id="0">
    <w:p w14:paraId="6DE4D2F9" w14:textId="77777777" w:rsidR="00E77A74" w:rsidRDefault="00E77A74" w:rsidP="00404A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575F81" w14:textId="77777777" w:rsidR="00E77A74" w:rsidRDefault="00E77A74" w:rsidP="00404AC9">
      <w:pPr>
        <w:spacing w:after="0" w:line="240" w:lineRule="auto"/>
      </w:pPr>
      <w:r>
        <w:separator/>
      </w:r>
    </w:p>
  </w:footnote>
  <w:footnote w:type="continuationSeparator" w:id="0">
    <w:p w14:paraId="20CCDA10" w14:textId="77777777" w:rsidR="00E77A74" w:rsidRDefault="00E77A74" w:rsidP="00404A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FED890" w14:textId="3DF847EF" w:rsidR="00735163" w:rsidRDefault="007351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3E0171"/>
    <w:multiLevelType w:val="hybridMultilevel"/>
    <w:tmpl w:val="0F966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84B2087"/>
    <w:multiLevelType w:val="hybridMultilevel"/>
    <w:tmpl w:val="0BE0E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165"/>
    <w:rsid w:val="00004AB7"/>
    <w:rsid w:val="00066A1A"/>
    <w:rsid w:val="0007099D"/>
    <w:rsid w:val="000A5F8B"/>
    <w:rsid w:val="000A6A55"/>
    <w:rsid w:val="000B0E0E"/>
    <w:rsid w:val="000C7C82"/>
    <w:rsid w:val="001132CD"/>
    <w:rsid w:val="001354D4"/>
    <w:rsid w:val="00151315"/>
    <w:rsid w:val="0015188E"/>
    <w:rsid w:val="001F6B29"/>
    <w:rsid w:val="00211894"/>
    <w:rsid w:val="00232236"/>
    <w:rsid w:val="00254ACB"/>
    <w:rsid w:val="00257DD4"/>
    <w:rsid w:val="002A280A"/>
    <w:rsid w:val="002C763C"/>
    <w:rsid w:val="002D46DD"/>
    <w:rsid w:val="002E65B5"/>
    <w:rsid w:val="003221F8"/>
    <w:rsid w:val="00322586"/>
    <w:rsid w:val="00331990"/>
    <w:rsid w:val="0034206A"/>
    <w:rsid w:val="00393468"/>
    <w:rsid w:val="003B62D9"/>
    <w:rsid w:val="003C4AC0"/>
    <w:rsid w:val="003E4619"/>
    <w:rsid w:val="003E5858"/>
    <w:rsid w:val="00404AC9"/>
    <w:rsid w:val="0041421A"/>
    <w:rsid w:val="00430F80"/>
    <w:rsid w:val="00450D59"/>
    <w:rsid w:val="00474268"/>
    <w:rsid w:val="00474827"/>
    <w:rsid w:val="004815E2"/>
    <w:rsid w:val="004A149B"/>
    <w:rsid w:val="004B1CCF"/>
    <w:rsid w:val="004B445A"/>
    <w:rsid w:val="004F5B42"/>
    <w:rsid w:val="00544431"/>
    <w:rsid w:val="005543C5"/>
    <w:rsid w:val="005765BC"/>
    <w:rsid w:val="00601742"/>
    <w:rsid w:val="00602090"/>
    <w:rsid w:val="006110A1"/>
    <w:rsid w:val="006602C5"/>
    <w:rsid w:val="0066052B"/>
    <w:rsid w:val="00671355"/>
    <w:rsid w:val="006723DD"/>
    <w:rsid w:val="006A74C0"/>
    <w:rsid w:val="006C763B"/>
    <w:rsid w:val="006D232D"/>
    <w:rsid w:val="00733744"/>
    <w:rsid w:val="0073397D"/>
    <w:rsid w:val="00733E5A"/>
    <w:rsid w:val="00735163"/>
    <w:rsid w:val="00766658"/>
    <w:rsid w:val="00770F50"/>
    <w:rsid w:val="00773FD1"/>
    <w:rsid w:val="007965BE"/>
    <w:rsid w:val="007A062B"/>
    <w:rsid w:val="007A4D33"/>
    <w:rsid w:val="007D7F67"/>
    <w:rsid w:val="00811738"/>
    <w:rsid w:val="008161F3"/>
    <w:rsid w:val="00880105"/>
    <w:rsid w:val="00895501"/>
    <w:rsid w:val="008D55C7"/>
    <w:rsid w:val="008D62FA"/>
    <w:rsid w:val="009061CA"/>
    <w:rsid w:val="00947804"/>
    <w:rsid w:val="00976000"/>
    <w:rsid w:val="00983774"/>
    <w:rsid w:val="00990265"/>
    <w:rsid w:val="009A61DF"/>
    <w:rsid w:val="009D49D1"/>
    <w:rsid w:val="009E36CD"/>
    <w:rsid w:val="00A02262"/>
    <w:rsid w:val="00A659DC"/>
    <w:rsid w:val="00A67430"/>
    <w:rsid w:val="00A77878"/>
    <w:rsid w:val="00A85F94"/>
    <w:rsid w:val="00A94165"/>
    <w:rsid w:val="00AB2F2A"/>
    <w:rsid w:val="00AD2B9C"/>
    <w:rsid w:val="00AF7495"/>
    <w:rsid w:val="00B01873"/>
    <w:rsid w:val="00B13B05"/>
    <w:rsid w:val="00B22784"/>
    <w:rsid w:val="00B4491E"/>
    <w:rsid w:val="00B44EB7"/>
    <w:rsid w:val="00B87032"/>
    <w:rsid w:val="00B95399"/>
    <w:rsid w:val="00BD6113"/>
    <w:rsid w:val="00C2406D"/>
    <w:rsid w:val="00C3424A"/>
    <w:rsid w:val="00C42E93"/>
    <w:rsid w:val="00C80A47"/>
    <w:rsid w:val="00CB5E34"/>
    <w:rsid w:val="00CD3516"/>
    <w:rsid w:val="00CE23F8"/>
    <w:rsid w:val="00D82449"/>
    <w:rsid w:val="00DA120B"/>
    <w:rsid w:val="00DF1125"/>
    <w:rsid w:val="00E0367C"/>
    <w:rsid w:val="00E11942"/>
    <w:rsid w:val="00E77A74"/>
    <w:rsid w:val="00E960BF"/>
    <w:rsid w:val="00EA4108"/>
    <w:rsid w:val="00EB1165"/>
    <w:rsid w:val="00EB2174"/>
    <w:rsid w:val="00ED252F"/>
    <w:rsid w:val="00ED6F77"/>
    <w:rsid w:val="00EE3F3D"/>
    <w:rsid w:val="00F31F1D"/>
    <w:rsid w:val="00F421E0"/>
    <w:rsid w:val="00FB32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8C40F"/>
  <w15:docId w15:val="{EBEA4A71-B6FB-4533-A3ED-D427343DD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A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AC9"/>
  </w:style>
  <w:style w:type="paragraph" w:styleId="Footer">
    <w:name w:val="footer"/>
    <w:basedOn w:val="Normal"/>
    <w:link w:val="FooterChar"/>
    <w:uiPriority w:val="99"/>
    <w:unhideWhenUsed/>
    <w:rsid w:val="00404A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AC9"/>
  </w:style>
  <w:style w:type="character" w:styleId="PlaceholderText">
    <w:name w:val="Placeholder Text"/>
    <w:basedOn w:val="DefaultParagraphFont"/>
    <w:uiPriority w:val="99"/>
    <w:semiHidden/>
    <w:rsid w:val="003221F8"/>
    <w:rPr>
      <w:color w:val="808080"/>
    </w:rPr>
  </w:style>
  <w:style w:type="paragraph" w:styleId="BalloonText">
    <w:name w:val="Balloon Text"/>
    <w:basedOn w:val="Normal"/>
    <w:link w:val="BalloonTextChar"/>
    <w:uiPriority w:val="99"/>
    <w:semiHidden/>
    <w:unhideWhenUsed/>
    <w:rsid w:val="004A14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149B"/>
    <w:rPr>
      <w:rFonts w:ascii="Tahoma" w:hAnsi="Tahoma" w:cs="Tahoma"/>
      <w:sz w:val="16"/>
      <w:szCs w:val="16"/>
    </w:rPr>
  </w:style>
  <w:style w:type="character" w:styleId="Hyperlink">
    <w:name w:val="Hyperlink"/>
    <w:basedOn w:val="DefaultParagraphFont"/>
    <w:uiPriority w:val="99"/>
    <w:semiHidden/>
    <w:unhideWhenUsed/>
    <w:rsid w:val="00EA4108"/>
    <w:rPr>
      <w:color w:val="0000FF"/>
      <w:u w:val="single"/>
    </w:rPr>
  </w:style>
  <w:style w:type="paragraph" w:styleId="Bibliography">
    <w:name w:val="Bibliography"/>
    <w:basedOn w:val="Normal"/>
    <w:next w:val="Normal"/>
    <w:uiPriority w:val="37"/>
    <w:unhideWhenUsed/>
    <w:rsid w:val="003E5858"/>
    <w:pPr>
      <w:spacing w:after="240" w:line="240" w:lineRule="auto"/>
    </w:pPr>
  </w:style>
  <w:style w:type="character" w:styleId="FollowedHyperlink">
    <w:name w:val="FollowedHyperlink"/>
    <w:basedOn w:val="DefaultParagraphFont"/>
    <w:uiPriority w:val="99"/>
    <w:semiHidden/>
    <w:unhideWhenUsed/>
    <w:rsid w:val="00976000"/>
    <w:rPr>
      <w:color w:val="954F72" w:themeColor="followedHyperlink"/>
      <w:u w:val="single"/>
    </w:rPr>
  </w:style>
  <w:style w:type="paragraph" w:styleId="ListParagraph">
    <w:name w:val="List Paragraph"/>
    <w:basedOn w:val="Normal"/>
    <w:uiPriority w:val="34"/>
    <w:qFormat/>
    <w:rsid w:val="006723DD"/>
    <w:pPr>
      <w:ind w:left="720"/>
      <w:contextualSpacing/>
    </w:pPr>
  </w:style>
  <w:style w:type="character" w:styleId="CommentReference">
    <w:name w:val="annotation reference"/>
    <w:basedOn w:val="DefaultParagraphFont"/>
    <w:uiPriority w:val="99"/>
    <w:semiHidden/>
    <w:unhideWhenUsed/>
    <w:rsid w:val="007965BE"/>
    <w:rPr>
      <w:sz w:val="18"/>
      <w:szCs w:val="18"/>
    </w:rPr>
  </w:style>
  <w:style w:type="paragraph" w:styleId="CommentText">
    <w:name w:val="annotation text"/>
    <w:basedOn w:val="Normal"/>
    <w:link w:val="CommentTextChar"/>
    <w:uiPriority w:val="99"/>
    <w:semiHidden/>
    <w:unhideWhenUsed/>
    <w:rsid w:val="007965BE"/>
    <w:pPr>
      <w:spacing w:line="240" w:lineRule="auto"/>
    </w:pPr>
    <w:rPr>
      <w:sz w:val="24"/>
      <w:szCs w:val="24"/>
    </w:rPr>
  </w:style>
  <w:style w:type="character" w:customStyle="1" w:styleId="CommentTextChar">
    <w:name w:val="Comment Text Char"/>
    <w:basedOn w:val="DefaultParagraphFont"/>
    <w:link w:val="CommentText"/>
    <w:uiPriority w:val="99"/>
    <w:semiHidden/>
    <w:rsid w:val="007965BE"/>
    <w:rPr>
      <w:sz w:val="24"/>
      <w:szCs w:val="24"/>
    </w:rPr>
  </w:style>
  <w:style w:type="paragraph" w:styleId="CommentSubject">
    <w:name w:val="annotation subject"/>
    <w:basedOn w:val="CommentText"/>
    <w:next w:val="CommentText"/>
    <w:link w:val="CommentSubjectChar"/>
    <w:uiPriority w:val="99"/>
    <w:semiHidden/>
    <w:unhideWhenUsed/>
    <w:rsid w:val="007965BE"/>
    <w:rPr>
      <w:b/>
      <w:bCs/>
      <w:sz w:val="20"/>
      <w:szCs w:val="20"/>
    </w:rPr>
  </w:style>
  <w:style w:type="character" w:customStyle="1" w:styleId="CommentSubjectChar">
    <w:name w:val="Comment Subject Char"/>
    <w:basedOn w:val="CommentTextChar"/>
    <w:link w:val="CommentSubject"/>
    <w:uiPriority w:val="99"/>
    <w:semiHidden/>
    <w:rsid w:val="007965B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5151</Words>
  <Characters>29365</Characters>
  <Application>Microsoft Office Word</Application>
  <DocSecurity>0</DocSecurity>
  <Lines>244</Lines>
  <Paragraphs>68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UC Irvine Health</Company>
  <LinksUpToDate>false</LinksUpToDate>
  <CharactersWithSpaces>34448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Parker, Daniel M</dc:creator>
  <cp:lastModifiedBy>Daniel Parker</cp:lastModifiedBy>
  <cp:revision>5</cp:revision>
  <cp:lastPrinted>2019-09-02T21:44:00Z</cp:lastPrinted>
  <dcterms:created xsi:type="dcterms:W3CDTF">2020-05-08T19:09:00Z</dcterms:created>
  <dcterms:modified xsi:type="dcterms:W3CDTF">2020-05-08T22:40:00Z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zotero-version="5.0.85"&gt;&lt;session id="msBB6gnS"/&gt;&lt;style id="http://www.zotero.org/styles/malaria-journal" hasBibliography="1" bibliographyStyleHasBeenSet="1"/&gt;&lt;prefs&gt;&lt;pref name="fieldType" value="Field"/&gt;&lt;/prefs&gt;&lt;/data&gt;</vt:lpwstr>
  </property>
</Properties>
</file>