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9" w:rsidRPr="00D543D6" w:rsidRDefault="00D543D6" w:rsidP="002A6485">
      <w:pPr>
        <w:rPr>
          <w:rFonts w:ascii="Times New Roman" w:hAnsi="Times New Roman" w:cs="Times New Roman"/>
          <w:b/>
          <w:sz w:val="22"/>
        </w:rPr>
      </w:pPr>
      <w:proofErr w:type="gramStart"/>
      <w:r w:rsidRPr="00D543D6">
        <w:rPr>
          <w:rFonts w:ascii="Times New Roman" w:hAnsi="Times New Roman" w:cs="Times New Roman"/>
          <w:b/>
          <w:sz w:val="22"/>
        </w:rPr>
        <w:t>S1 Table</w:t>
      </w:r>
      <w:r w:rsidR="00B00C99" w:rsidRPr="00D543D6">
        <w:rPr>
          <w:rFonts w:ascii="Times New Roman" w:hAnsi="Times New Roman" w:cs="Times New Roman"/>
          <w:b/>
          <w:sz w:val="22"/>
        </w:rPr>
        <w:t>.</w:t>
      </w:r>
      <w:proofErr w:type="gramEnd"/>
      <w:r w:rsidR="00B00C99" w:rsidRPr="00D543D6">
        <w:rPr>
          <w:rFonts w:ascii="Times New Roman" w:hAnsi="Times New Roman" w:cs="Times New Roman"/>
          <w:b/>
          <w:sz w:val="22"/>
        </w:rPr>
        <w:t xml:space="preserve"> MPAD model parameters, sourced from </w:t>
      </w:r>
      <w:proofErr w:type="spellStart"/>
      <w:r w:rsidR="00B00C99" w:rsidRPr="00D543D6">
        <w:rPr>
          <w:rFonts w:ascii="Times New Roman" w:hAnsi="Times New Roman" w:cs="Times New Roman"/>
          <w:b/>
          <w:sz w:val="22"/>
        </w:rPr>
        <w:t>Jia</w:t>
      </w:r>
      <w:proofErr w:type="spellEnd"/>
      <w:r w:rsidR="00B00C99" w:rsidRPr="00D543D6">
        <w:rPr>
          <w:rFonts w:ascii="Times New Roman" w:hAnsi="Times New Roman" w:cs="Times New Roman"/>
          <w:b/>
          <w:sz w:val="22"/>
        </w:rPr>
        <w:t xml:space="preserve"> et al.</w:t>
      </w:r>
      <w:r w:rsidR="00585015">
        <w:rPr>
          <w:rFonts w:ascii="Times New Roman" w:hAnsi="Times New Roman" w:cs="Times New Roman"/>
          <w:b/>
          <w:sz w:val="22"/>
        </w:rPr>
        <w:t xml:space="preserve"> [24]</w:t>
      </w:r>
      <w:r w:rsidR="000C2D6A">
        <w:rPr>
          <w:rFonts w:ascii="Times New Roman" w:hAnsi="Times New Roman" w:cs="Times New Roman"/>
          <w:b/>
          <w:sz w:val="22"/>
        </w:rPr>
        <w:t>.</w:t>
      </w:r>
    </w:p>
    <w:tbl>
      <w:tblPr>
        <w:tblStyle w:val="1"/>
        <w:tblW w:w="8226" w:type="dxa"/>
        <w:tblInd w:w="-176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24"/>
        <w:gridCol w:w="17"/>
        <w:gridCol w:w="6085"/>
      </w:tblGrid>
      <w:tr w:rsidR="00B00C99" w:rsidRPr="00B00C99" w:rsidTr="00B00C99">
        <w:trPr>
          <w:cnfStyle w:val="100000000000"/>
          <w:trHeight w:hRule="exact" w:val="337"/>
        </w:trPr>
        <w:tc>
          <w:tcPr>
            <w:cnfStyle w:val="001000000000"/>
            <w:tcW w:w="822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  <w:t>Climate-dependent parameters</w:t>
            </w:r>
          </w:p>
        </w:tc>
      </w:tr>
      <w:tr w:rsidR="00B00C99" w:rsidRPr="00B00C99" w:rsidTr="00B00C99">
        <w:trPr>
          <w:cnfStyle w:val="000000100000"/>
          <w:trHeight w:hRule="exact" w:val="337"/>
        </w:trPr>
        <w:tc>
          <w:tcPr>
            <w:cnfStyle w:val="001000000000"/>
            <w:tcW w:w="21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noProof/>
                <w:color w:val="auto"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b w:val="0"/>
                <w:noProof/>
                <w:color w:val="auto"/>
                <w:sz w:val="22"/>
                <w:vertAlign w:val="subscript"/>
              </w:rPr>
              <w:t>E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Non-</w:t>
            </w:r>
            <w:proofErr w:type="spellStart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diapause</w:t>
            </w:r>
            <w:proofErr w:type="spellEnd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 xml:space="preserve"> egg hatching rate</w:t>
            </w:r>
          </w:p>
        </w:tc>
      </w:tr>
      <w:tr w:rsidR="00B00C99" w:rsidRPr="00B00C99" w:rsidTr="00B00C99">
        <w:trPr>
          <w:trHeight w:hRule="exact" w:val="337"/>
        </w:trPr>
        <w:tc>
          <w:tcPr>
            <w:cnfStyle w:val="001000000000"/>
            <w:tcW w:w="2124" w:type="dxa"/>
            <w:tcBorders>
              <w:top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noProof/>
                <w:color w:val="auto"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b w:val="0"/>
                <w:noProof/>
                <w:color w:val="auto"/>
                <w:sz w:val="22"/>
                <w:vertAlign w:val="subscript"/>
              </w:rPr>
              <w:t>dia</w:t>
            </w:r>
          </w:p>
        </w:tc>
        <w:tc>
          <w:tcPr>
            <w:tcW w:w="610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Diapause</w:t>
            </w:r>
            <w:proofErr w:type="spellEnd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 xml:space="preserve"> egg hatching rate</w:t>
            </w:r>
          </w:p>
        </w:tc>
      </w:tr>
      <w:tr w:rsidR="00B00C99" w:rsidRPr="00B00C99" w:rsidTr="00B00C99">
        <w:trPr>
          <w:cnfStyle w:val="000000100000"/>
          <w:trHeight w:hRule="exact" w:val="300"/>
        </w:trPr>
        <w:tc>
          <w:tcPr>
            <w:cnfStyle w:val="001000000000"/>
            <w:tcW w:w="2124" w:type="dxa"/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b w:val="0"/>
                <w:color w:val="auto"/>
                <w:sz w:val="22"/>
                <w:vertAlign w:val="subscript"/>
              </w:rPr>
              <w:t>L</w:t>
            </w:r>
            <w:proofErr w:type="spellEnd"/>
          </w:p>
        </w:tc>
        <w:tc>
          <w:tcPr>
            <w:tcW w:w="6102" w:type="dxa"/>
            <w:gridSpan w:val="2"/>
            <w:shd w:val="clear" w:color="auto" w:fill="FFFFFF" w:themeFill="background1"/>
          </w:tcPr>
          <w:p w:rsidR="00B00C99" w:rsidRPr="00B00C99" w:rsidRDefault="00B00C99" w:rsidP="000C2D6A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Larva development rate</w:t>
            </w:r>
          </w:p>
        </w:tc>
      </w:tr>
      <w:tr w:rsidR="00B00C99" w:rsidRPr="00B00C99" w:rsidTr="00B00C99">
        <w:trPr>
          <w:trHeight w:hRule="exact" w:val="321"/>
        </w:trPr>
        <w:tc>
          <w:tcPr>
            <w:cnfStyle w:val="001000000000"/>
            <w:tcW w:w="2124" w:type="dxa"/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noProof/>
                <w:color w:val="auto"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b w:val="0"/>
                <w:noProof/>
                <w:color w:val="auto"/>
                <w:sz w:val="22"/>
                <w:vertAlign w:val="subscript"/>
              </w:rPr>
              <w:t>P</w:t>
            </w:r>
          </w:p>
        </w:tc>
        <w:tc>
          <w:tcPr>
            <w:tcW w:w="6102" w:type="dxa"/>
            <w:gridSpan w:val="2"/>
            <w:shd w:val="clear" w:color="auto" w:fill="FFFFFF" w:themeFill="background1"/>
          </w:tcPr>
          <w:p w:rsidR="00B00C99" w:rsidRPr="00B00C99" w:rsidRDefault="00B00C99" w:rsidP="000C2D6A">
            <w:pPr>
              <w:ind w:left="110" w:hangingChars="50" w:hanging="110"/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Pupa development rate</w:t>
            </w:r>
          </w:p>
        </w:tc>
      </w:tr>
      <w:tr w:rsidR="00B00C99" w:rsidRPr="00B00C99" w:rsidTr="00B00C99">
        <w:trPr>
          <w:cnfStyle w:val="000000100000"/>
          <w:trHeight w:hRule="exact" w:val="315"/>
        </w:trPr>
        <w:tc>
          <w:tcPr>
            <w:cnfStyle w:val="001000000000"/>
            <w:tcW w:w="2124" w:type="dxa"/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m</w:t>
            </w:r>
            <w:r w:rsidRPr="00B00C99">
              <w:rPr>
                <w:rFonts w:ascii="Times New Roman" w:eastAsia="宋体" w:hAnsi="Times New Roman" w:cs="Times New Roman"/>
                <w:b w:val="0"/>
                <w:color w:val="auto"/>
                <w:sz w:val="22"/>
                <w:vertAlign w:val="subscript"/>
              </w:rPr>
              <w:t>L</w:t>
            </w:r>
          </w:p>
        </w:tc>
        <w:tc>
          <w:tcPr>
            <w:tcW w:w="6102" w:type="dxa"/>
            <w:gridSpan w:val="2"/>
            <w:shd w:val="clear" w:color="auto" w:fill="FFFFFF" w:themeFill="background1"/>
          </w:tcPr>
          <w:p w:rsidR="00B00C99" w:rsidRPr="00B00C99" w:rsidRDefault="00B00C99" w:rsidP="000C2D6A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Larva mortality rate</w:t>
            </w:r>
          </w:p>
        </w:tc>
      </w:tr>
      <w:tr w:rsidR="00B00C99" w:rsidRPr="00B00C99" w:rsidTr="00B00C99">
        <w:trPr>
          <w:trHeight w:hRule="exact" w:val="315"/>
        </w:trPr>
        <w:tc>
          <w:tcPr>
            <w:cnfStyle w:val="001000000000"/>
            <w:tcW w:w="2124" w:type="dxa"/>
            <w:tcBorders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m</w:t>
            </w:r>
            <w:r w:rsidRPr="00B00C99">
              <w:rPr>
                <w:rFonts w:ascii="Times New Roman" w:eastAsia="宋体" w:hAnsi="Times New Roman" w:cs="Times New Roman"/>
                <w:b w:val="0"/>
                <w:color w:val="auto"/>
                <w:sz w:val="22"/>
                <w:vertAlign w:val="subscript"/>
              </w:rPr>
              <w:t>P</w:t>
            </w:r>
            <w:proofErr w:type="spellEnd"/>
          </w:p>
        </w:tc>
        <w:tc>
          <w:tcPr>
            <w:tcW w:w="610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Pupa mortality rate</w:t>
            </w:r>
          </w:p>
        </w:tc>
      </w:tr>
      <w:tr w:rsidR="00B00C99" w:rsidRPr="00B00C99" w:rsidTr="00B00C99">
        <w:trPr>
          <w:cnfStyle w:val="000000100000"/>
          <w:trHeight w:hRule="exact" w:val="315"/>
        </w:trPr>
        <w:tc>
          <w:tcPr>
            <w:cnfStyle w:val="001000000000"/>
            <w:tcW w:w="21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m</w:t>
            </w:r>
            <w:r w:rsidRPr="00B00C99">
              <w:rPr>
                <w:rFonts w:ascii="Times New Roman" w:eastAsia="宋体" w:hAnsi="Times New Roman" w:cs="Times New Roman"/>
                <w:b w:val="0"/>
                <w:color w:val="auto"/>
                <w:sz w:val="22"/>
                <w:vertAlign w:val="subscript"/>
              </w:rPr>
              <w:t>A</w:t>
            </w:r>
          </w:p>
        </w:tc>
        <w:tc>
          <w:tcPr>
            <w:tcW w:w="610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Adult mortality rate</w:t>
            </w:r>
          </w:p>
          <w:p w:rsidR="00B00C99" w:rsidRPr="00B00C99" w:rsidRDefault="00B00C99" w:rsidP="002A6485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</w:p>
        </w:tc>
      </w:tr>
      <w:tr w:rsidR="00B00C99" w:rsidRPr="00B00C99" w:rsidTr="00B00C99">
        <w:trPr>
          <w:trHeight w:hRule="exact" w:val="315"/>
        </w:trPr>
        <w:tc>
          <w:tcPr>
            <w:cnfStyle w:val="001000000000"/>
            <w:tcW w:w="2124" w:type="dxa"/>
            <w:tcBorders>
              <w:top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β</w:t>
            </w:r>
          </w:p>
        </w:tc>
        <w:tc>
          <w:tcPr>
            <w:tcW w:w="610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Oviposition rate by each female</w:t>
            </w:r>
          </w:p>
        </w:tc>
      </w:tr>
      <w:tr w:rsidR="00B00C99" w:rsidRPr="00B00C99" w:rsidTr="00B00C99">
        <w:trPr>
          <w:cnfStyle w:val="000000100000"/>
          <w:trHeight w:hRule="exact" w:val="315"/>
        </w:trPr>
        <w:tc>
          <w:tcPr>
            <w:cnfStyle w:val="001000000000"/>
            <w:tcW w:w="2124" w:type="dxa"/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b w:val="0"/>
                <w:color w:val="auto"/>
                <w:sz w:val="22"/>
                <w:vertAlign w:val="subscript"/>
              </w:rPr>
              <w:t>Ag</w:t>
            </w:r>
            <w:proofErr w:type="spellEnd"/>
          </w:p>
        </w:tc>
        <w:tc>
          <w:tcPr>
            <w:tcW w:w="6102" w:type="dxa"/>
            <w:gridSpan w:val="2"/>
            <w:shd w:val="clear" w:color="auto" w:fill="FFFFFF" w:themeFill="background1"/>
          </w:tcPr>
          <w:p w:rsidR="00B00C99" w:rsidRPr="00B00C99" w:rsidRDefault="00B00C99" w:rsidP="000C2D6A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Gestating adult development rate</w:t>
            </w:r>
          </w:p>
        </w:tc>
      </w:tr>
      <w:tr w:rsidR="00B00C99" w:rsidRPr="00B00C99" w:rsidTr="00B00C99">
        <w:trPr>
          <w:trHeight w:hRule="exact" w:val="315"/>
        </w:trPr>
        <w:tc>
          <w:tcPr>
            <w:cnfStyle w:val="001000000000"/>
            <w:tcW w:w="2124" w:type="dxa"/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k</w:t>
            </w:r>
            <w:r w:rsidRPr="00B00C99">
              <w:rPr>
                <w:rFonts w:ascii="Times New Roman" w:eastAsia="宋体" w:hAnsi="Times New Roman" w:cs="Times New Roman"/>
                <w:b w:val="0"/>
                <w:color w:val="auto"/>
                <w:sz w:val="22"/>
                <w:vertAlign w:val="subscript"/>
              </w:rPr>
              <w:t>L</w:t>
            </w:r>
            <w:proofErr w:type="spellEnd"/>
          </w:p>
        </w:tc>
        <w:tc>
          <w:tcPr>
            <w:tcW w:w="6102" w:type="dxa"/>
            <w:gridSpan w:val="2"/>
            <w:shd w:val="clear" w:color="auto" w:fill="FFFFFF" w:themeFill="background1"/>
          </w:tcPr>
          <w:p w:rsidR="00B00C99" w:rsidRPr="00B00C99" w:rsidRDefault="00B00C99" w:rsidP="000C2D6A">
            <w:pPr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Environmental carrying capacity for larvae</w:t>
            </w:r>
          </w:p>
        </w:tc>
      </w:tr>
      <w:tr w:rsidR="00B00C99" w:rsidRPr="00B00C99" w:rsidTr="00B00C99">
        <w:trPr>
          <w:cnfStyle w:val="000000100000"/>
          <w:trHeight w:hRule="exact" w:val="315"/>
        </w:trPr>
        <w:tc>
          <w:tcPr>
            <w:cnfStyle w:val="001000000000"/>
            <w:tcW w:w="2124" w:type="dxa"/>
            <w:tcBorders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noProof/>
                <w:color w:val="auto"/>
                <w:sz w:val="22"/>
              </w:rPr>
              <w:t>k</w:t>
            </w:r>
            <w:r w:rsidRPr="00B00C99">
              <w:rPr>
                <w:rFonts w:ascii="Times New Roman" w:eastAsia="宋体" w:hAnsi="Times New Roman" w:cs="Times New Roman"/>
                <w:b w:val="0"/>
                <w:noProof/>
                <w:color w:val="auto"/>
                <w:sz w:val="22"/>
                <w:vertAlign w:val="subscript"/>
              </w:rPr>
              <w:t>P</w:t>
            </w:r>
          </w:p>
        </w:tc>
        <w:tc>
          <w:tcPr>
            <w:tcW w:w="610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Environmental carrying capacity for pupae</w:t>
            </w:r>
          </w:p>
          <w:p w:rsidR="00B00C99" w:rsidRPr="00B00C99" w:rsidRDefault="00B00C99" w:rsidP="002A6485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</w:p>
          <w:p w:rsidR="00B00C99" w:rsidRPr="00B00C99" w:rsidRDefault="00B00C99" w:rsidP="002A6485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</w:p>
          <w:p w:rsidR="00B00C99" w:rsidRPr="00B00C99" w:rsidRDefault="00B00C99" w:rsidP="002A6485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</w:p>
          <w:p w:rsidR="00B00C99" w:rsidRPr="00B00C99" w:rsidRDefault="00B00C99" w:rsidP="002A6485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</w:p>
        </w:tc>
      </w:tr>
      <w:tr w:rsidR="00B00C99" w:rsidRPr="00B00C99" w:rsidTr="00B00C99">
        <w:trPr>
          <w:trHeight w:hRule="exact" w:val="315"/>
        </w:trPr>
        <w:tc>
          <w:tcPr>
            <w:cnfStyle w:val="001000000000"/>
            <w:tcW w:w="21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z</w:t>
            </w:r>
            <w:r w:rsidRPr="00B00C99">
              <w:rPr>
                <w:rFonts w:ascii="Times New Roman" w:eastAsia="宋体" w:hAnsi="Times New Roman" w:cs="Times New Roman"/>
                <w:b w:val="0"/>
                <w:color w:val="auto"/>
                <w:sz w:val="22"/>
                <w:vertAlign w:val="subscript"/>
              </w:rPr>
              <w:t>1</w:t>
            </w:r>
          </w:p>
        </w:tc>
        <w:tc>
          <w:tcPr>
            <w:tcW w:w="610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 xml:space="preserve">Binary function for </w:t>
            </w:r>
            <w:proofErr w:type="spellStart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diapause</w:t>
            </w:r>
            <w:proofErr w:type="spellEnd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 xml:space="preserve"> eggs </w:t>
            </w:r>
            <w:proofErr w:type="spellStart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oviposited</w:t>
            </w:r>
            <w:proofErr w:type="spellEnd"/>
          </w:p>
        </w:tc>
      </w:tr>
      <w:tr w:rsidR="00B00C99" w:rsidRPr="00B00C99" w:rsidTr="00B00C99">
        <w:trPr>
          <w:cnfStyle w:val="000000100000"/>
          <w:trHeight w:hRule="exact" w:val="315"/>
        </w:trPr>
        <w:tc>
          <w:tcPr>
            <w:cnfStyle w:val="001000000000"/>
            <w:tcW w:w="21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z</w:t>
            </w: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  <w:vertAlign w:val="subscript"/>
              </w:rPr>
              <w:t>2</w:t>
            </w:r>
          </w:p>
        </w:tc>
        <w:tc>
          <w:tcPr>
            <w:tcW w:w="610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cnfStyle w:val="0000001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Binary function for diapause egg hatching</w:t>
            </w:r>
          </w:p>
        </w:tc>
      </w:tr>
      <w:tr w:rsidR="00B00C99" w:rsidRPr="00B00C99" w:rsidTr="00B00C99">
        <w:trPr>
          <w:trHeight w:hRule="exact" w:val="315"/>
        </w:trPr>
        <w:tc>
          <w:tcPr>
            <w:cnfStyle w:val="001000000000"/>
            <w:tcW w:w="21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noProof/>
                <w:color w:val="auto"/>
                <w:sz w:val="22"/>
              </w:rPr>
              <w:t>z</w:t>
            </w:r>
            <w:r w:rsidRPr="00B00C99">
              <w:rPr>
                <w:rFonts w:ascii="Times New Roman" w:eastAsia="宋体" w:hAnsi="Times New Roman" w:cs="Times New Roman"/>
                <w:b w:val="0"/>
                <w:noProof/>
                <w:color w:val="auto"/>
                <w:sz w:val="22"/>
                <w:vertAlign w:val="subscript"/>
              </w:rPr>
              <w:t>dia</w:t>
            </w:r>
          </w:p>
        </w:tc>
        <w:tc>
          <w:tcPr>
            <w:tcW w:w="610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Binary function for adult activity during diapause period</w:t>
            </w:r>
          </w:p>
          <w:p w:rsidR="00B00C99" w:rsidRPr="00B00C99" w:rsidRDefault="00B00C99" w:rsidP="002A6485">
            <w:pPr>
              <w:cnfStyle w:val="000000000000"/>
              <w:rPr>
                <w:rFonts w:ascii="Times New Roman" w:eastAsia="宋体" w:hAnsi="Times New Roman" w:cs="Times New Roman"/>
                <w:color w:val="auto"/>
                <w:sz w:val="22"/>
              </w:rPr>
            </w:pPr>
          </w:p>
        </w:tc>
      </w:tr>
      <w:tr w:rsidR="00B00C99" w:rsidRPr="00B00C99" w:rsidTr="00B00C99">
        <w:trPr>
          <w:cnfStyle w:val="000000100000"/>
          <w:trHeight w:hRule="exact" w:val="315"/>
        </w:trPr>
        <w:tc>
          <w:tcPr>
            <w:cnfStyle w:val="001000000000"/>
            <w:tcW w:w="822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sz w:val="22"/>
              </w:rPr>
            </w:pPr>
          </w:p>
        </w:tc>
      </w:tr>
      <w:tr w:rsidR="00B00C99" w:rsidRPr="00B00C99" w:rsidTr="00B00C99">
        <w:trPr>
          <w:trHeight w:hRule="exact" w:val="315"/>
        </w:trPr>
        <w:tc>
          <w:tcPr>
            <w:cnfStyle w:val="001000000000"/>
            <w:tcW w:w="822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  <w:t>Climate-independent parameters</w:t>
            </w:r>
          </w:p>
        </w:tc>
      </w:tr>
      <w:tr w:rsidR="00B00C99" w:rsidRPr="00B00C99" w:rsidTr="00B00C99">
        <w:trPr>
          <w:cnfStyle w:val="000000100000"/>
          <w:trHeight w:hRule="exact" w:val="315"/>
        </w:trPr>
        <w:tc>
          <w:tcPr>
            <w:cnfStyle w:val="001000000000"/>
            <w:tcW w:w="214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m</w:t>
            </w: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  <w:vertAlign w:val="subscript"/>
              </w:rPr>
              <w:t>E</w:t>
            </w:r>
            <w:proofErr w:type="spellEnd"/>
          </w:p>
        </w:tc>
        <w:tc>
          <w:tcPr>
            <w:tcW w:w="60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100000"/>
              <w:rPr>
                <w:rFonts w:ascii="Times New Roman" w:eastAsia="宋体" w:hAnsi="Times New Roman" w:cs="Times New Roman"/>
                <w:bCs/>
                <w:i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Non-</w:t>
            </w:r>
            <w:proofErr w:type="spellStart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diapause</w:t>
            </w:r>
            <w:proofErr w:type="spellEnd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 xml:space="preserve"> egg mortality rate</w:t>
            </w:r>
          </w:p>
        </w:tc>
      </w:tr>
      <w:tr w:rsidR="00B00C99" w:rsidRPr="00B00C99" w:rsidTr="00B00C99">
        <w:trPr>
          <w:trHeight w:hRule="exact" w:val="315"/>
        </w:trPr>
        <w:tc>
          <w:tcPr>
            <w:cnfStyle w:val="001000000000"/>
            <w:tcW w:w="21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m</w:t>
            </w: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  <w:vertAlign w:val="subscript"/>
              </w:rPr>
              <w:t>dia</w:t>
            </w:r>
            <w:proofErr w:type="spellEnd"/>
          </w:p>
        </w:tc>
        <w:tc>
          <w:tcPr>
            <w:tcW w:w="60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000000"/>
              <w:rPr>
                <w:rFonts w:ascii="Times New Roman" w:eastAsia="宋体" w:hAnsi="Times New Roman" w:cs="Times New Roman"/>
                <w:bCs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Diapause</w:t>
            </w:r>
            <w:proofErr w:type="spellEnd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 xml:space="preserve"> egg mortality rate</w:t>
            </w:r>
          </w:p>
        </w:tc>
      </w:tr>
      <w:tr w:rsidR="00B00C99" w:rsidRPr="00B00C99" w:rsidTr="00B00C99">
        <w:trPr>
          <w:cnfStyle w:val="000000100000"/>
          <w:trHeight w:hRule="exact" w:val="315"/>
        </w:trPr>
        <w:tc>
          <w:tcPr>
            <w:cnfStyle w:val="001000000000"/>
            <w:tcW w:w="21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σ</w:t>
            </w:r>
          </w:p>
        </w:tc>
        <w:tc>
          <w:tcPr>
            <w:tcW w:w="60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cnfStyle w:val="000000100000"/>
              <w:rPr>
                <w:rFonts w:ascii="Times New Roman" w:eastAsia="宋体" w:hAnsi="Times New Roman" w:cs="Times New Roman"/>
                <w:bCs/>
                <w:i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Percentage of females at emerging adult stage</w:t>
            </w:r>
          </w:p>
        </w:tc>
      </w:tr>
      <w:tr w:rsidR="00B00C99" w:rsidRPr="00B00C99" w:rsidTr="00B00C99">
        <w:trPr>
          <w:trHeight w:hRule="exact" w:val="342"/>
        </w:trPr>
        <w:tc>
          <w:tcPr>
            <w:cnfStyle w:val="001000000000"/>
            <w:tcW w:w="21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bCs w:val="0"/>
                <w:i/>
                <w:color w:val="auto"/>
                <w:sz w:val="22"/>
                <w:vertAlign w:val="subscript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μ</w:t>
            </w: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  <w:vertAlign w:val="subscript"/>
              </w:rPr>
              <w:t>em</w:t>
            </w:r>
            <w:proofErr w:type="spellEnd"/>
          </w:p>
        </w:tc>
        <w:tc>
          <w:tcPr>
            <w:tcW w:w="60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000000"/>
              <w:rPr>
                <w:rFonts w:ascii="Times New Roman" w:eastAsia="宋体" w:hAnsi="Times New Roman" w:cs="Times New Roman"/>
                <w:bCs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Emerging adult mortality rate</w:t>
            </w:r>
          </w:p>
        </w:tc>
      </w:tr>
      <w:tr w:rsidR="00B00C99" w:rsidRPr="00B00C99" w:rsidTr="00B00C99">
        <w:trPr>
          <w:cnfStyle w:val="000000100000"/>
          <w:trHeight w:hRule="exact" w:val="315"/>
        </w:trPr>
        <w:tc>
          <w:tcPr>
            <w:cnfStyle w:val="001000000000"/>
            <w:tcW w:w="21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μ</w:t>
            </w: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  <w:vertAlign w:val="subscript"/>
              </w:rPr>
              <w:t>r</w:t>
            </w:r>
            <w:proofErr w:type="spellEnd"/>
          </w:p>
        </w:tc>
        <w:tc>
          <w:tcPr>
            <w:tcW w:w="60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100000"/>
              <w:rPr>
                <w:rFonts w:ascii="Times New Roman" w:eastAsia="宋体" w:hAnsi="Times New Roman" w:cs="Times New Roman"/>
                <w:bCs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Adult mortality rate related to seeking behavior</w:t>
            </w:r>
          </w:p>
        </w:tc>
      </w:tr>
      <w:tr w:rsidR="00B00C99" w:rsidRPr="00B00C99" w:rsidTr="00B00C99">
        <w:trPr>
          <w:trHeight w:hRule="exact" w:val="315"/>
        </w:trPr>
        <w:tc>
          <w:tcPr>
            <w:cnfStyle w:val="001000000000"/>
            <w:tcW w:w="21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γ</w:t>
            </w: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  <w:vertAlign w:val="subscript"/>
              </w:rPr>
              <w:t>Aem</w:t>
            </w:r>
            <w:proofErr w:type="spellEnd"/>
          </w:p>
        </w:tc>
        <w:tc>
          <w:tcPr>
            <w:tcW w:w="60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000000"/>
              <w:rPr>
                <w:rFonts w:ascii="Times New Roman" w:eastAsia="宋体" w:hAnsi="Times New Roman" w:cs="Times New Roman"/>
                <w:bCs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Emerging adult development rate</w:t>
            </w:r>
          </w:p>
        </w:tc>
      </w:tr>
      <w:tr w:rsidR="00B00C99" w:rsidRPr="00B00C99" w:rsidTr="001561AD">
        <w:trPr>
          <w:cnfStyle w:val="000000100000"/>
          <w:trHeight w:hRule="exact" w:val="315"/>
        </w:trPr>
        <w:tc>
          <w:tcPr>
            <w:cnfStyle w:val="001000000000"/>
            <w:tcW w:w="21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γ</w:t>
            </w: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  <w:vertAlign w:val="subscript"/>
              </w:rPr>
              <w:t>Ab</w:t>
            </w:r>
            <w:proofErr w:type="spellEnd"/>
          </w:p>
        </w:tc>
        <w:tc>
          <w:tcPr>
            <w:tcW w:w="60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100000"/>
              <w:rPr>
                <w:rFonts w:ascii="Times New Roman" w:eastAsia="宋体" w:hAnsi="Times New Roman" w:cs="Times New Roman"/>
                <w:bCs/>
                <w:color w:val="auto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Blood-fed adult development rate</w:t>
            </w:r>
          </w:p>
        </w:tc>
      </w:tr>
      <w:tr w:rsidR="00B00C99" w:rsidRPr="00B00C99" w:rsidTr="001561AD">
        <w:trPr>
          <w:trHeight w:hRule="exact" w:val="315"/>
        </w:trPr>
        <w:tc>
          <w:tcPr>
            <w:cnfStyle w:val="001000000000"/>
            <w:tcW w:w="214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</w:rPr>
              <w:t>γ</w:t>
            </w:r>
            <w:r w:rsidRPr="00B00C99">
              <w:rPr>
                <w:rFonts w:ascii="Times New Roman" w:eastAsia="宋体" w:hAnsi="Times New Roman" w:cs="Times New Roman"/>
                <w:b w:val="0"/>
                <w:i/>
                <w:color w:val="auto"/>
                <w:sz w:val="22"/>
                <w:vertAlign w:val="subscript"/>
              </w:rPr>
              <w:t>Ao</w:t>
            </w:r>
            <w:proofErr w:type="spellEnd"/>
          </w:p>
        </w:tc>
        <w:tc>
          <w:tcPr>
            <w:tcW w:w="60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00C99" w:rsidRPr="00B00C99" w:rsidRDefault="00B00C99" w:rsidP="000C2D6A">
            <w:pPr>
              <w:cnfStyle w:val="000000000000"/>
              <w:rPr>
                <w:rFonts w:ascii="Times New Roman" w:eastAsia="宋体" w:hAnsi="Times New Roman" w:cs="Times New Roman"/>
                <w:bCs/>
                <w:color w:val="auto"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>Ovipositing</w:t>
            </w:r>
            <w:proofErr w:type="spellEnd"/>
            <w:r w:rsidRPr="00B00C99">
              <w:rPr>
                <w:rFonts w:ascii="Times New Roman" w:eastAsia="宋体" w:hAnsi="Times New Roman" w:cs="Times New Roman"/>
                <w:color w:val="auto"/>
                <w:sz w:val="22"/>
              </w:rPr>
              <w:t xml:space="preserve"> adult development rate</w:t>
            </w:r>
          </w:p>
        </w:tc>
      </w:tr>
    </w:tbl>
    <w:p w:rsidR="00B00C99" w:rsidRPr="00B00C99" w:rsidRDefault="00B00C99" w:rsidP="00851EC5">
      <w:pPr>
        <w:rPr>
          <w:rFonts w:ascii="Times New Roman" w:hAnsi="Times New Roman" w:cs="Times New Roman"/>
          <w:sz w:val="22"/>
        </w:rPr>
      </w:pPr>
    </w:p>
    <w:sectPr w:rsidR="00B00C99" w:rsidRPr="00B00C99" w:rsidSect="0085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7A" w:rsidRDefault="002D257A" w:rsidP="00C71B36">
      <w:r>
        <w:separator/>
      </w:r>
    </w:p>
  </w:endnote>
  <w:endnote w:type="continuationSeparator" w:id="0">
    <w:p w:rsidR="002D257A" w:rsidRDefault="002D257A" w:rsidP="00C7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7A" w:rsidRDefault="002D257A" w:rsidP="00C71B36">
      <w:r>
        <w:separator/>
      </w:r>
    </w:p>
  </w:footnote>
  <w:footnote w:type="continuationSeparator" w:id="0">
    <w:p w:rsidR="002D257A" w:rsidRDefault="002D257A" w:rsidP="00C71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zU2MTS2tLQ0sLQ0NTZS0lEKTi0uzszPAykwNKoFAND14rotAAAA"/>
  </w:docVars>
  <w:rsids>
    <w:rsidRoot w:val="00C71B36"/>
    <w:rsid w:val="00091922"/>
    <w:rsid w:val="000C246E"/>
    <w:rsid w:val="000C2D6A"/>
    <w:rsid w:val="00104B80"/>
    <w:rsid w:val="0012024C"/>
    <w:rsid w:val="001561AD"/>
    <w:rsid w:val="001675E8"/>
    <w:rsid w:val="00186682"/>
    <w:rsid w:val="00242EC6"/>
    <w:rsid w:val="002613D5"/>
    <w:rsid w:val="00270561"/>
    <w:rsid w:val="0028020C"/>
    <w:rsid w:val="002A2E40"/>
    <w:rsid w:val="002A6485"/>
    <w:rsid w:val="002D257A"/>
    <w:rsid w:val="002D3ED4"/>
    <w:rsid w:val="002F14E7"/>
    <w:rsid w:val="003D6D1D"/>
    <w:rsid w:val="00425291"/>
    <w:rsid w:val="004324A7"/>
    <w:rsid w:val="004360A9"/>
    <w:rsid w:val="004646D4"/>
    <w:rsid w:val="0047336E"/>
    <w:rsid w:val="004C18E1"/>
    <w:rsid w:val="004E21AD"/>
    <w:rsid w:val="00517C3C"/>
    <w:rsid w:val="00531B3C"/>
    <w:rsid w:val="00547B04"/>
    <w:rsid w:val="00567D8D"/>
    <w:rsid w:val="00585015"/>
    <w:rsid w:val="005D37FD"/>
    <w:rsid w:val="00651316"/>
    <w:rsid w:val="006F61DE"/>
    <w:rsid w:val="007506A8"/>
    <w:rsid w:val="007D0F70"/>
    <w:rsid w:val="00814CBD"/>
    <w:rsid w:val="00851EC5"/>
    <w:rsid w:val="00861FFF"/>
    <w:rsid w:val="008B6524"/>
    <w:rsid w:val="009243E0"/>
    <w:rsid w:val="00962EE1"/>
    <w:rsid w:val="00A90B22"/>
    <w:rsid w:val="00B00C99"/>
    <w:rsid w:val="00B06A0B"/>
    <w:rsid w:val="00B1514C"/>
    <w:rsid w:val="00B271FE"/>
    <w:rsid w:val="00B308FD"/>
    <w:rsid w:val="00B75860"/>
    <w:rsid w:val="00B7739C"/>
    <w:rsid w:val="00B97F8E"/>
    <w:rsid w:val="00BA301A"/>
    <w:rsid w:val="00BA6D71"/>
    <w:rsid w:val="00BB25D7"/>
    <w:rsid w:val="00BC655D"/>
    <w:rsid w:val="00BD1B0A"/>
    <w:rsid w:val="00C71B36"/>
    <w:rsid w:val="00CC423C"/>
    <w:rsid w:val="00CE476E"/>
    <w:rsid w:val="00D36EFC"/>
    <w:rsid w:val="00D543D6"/>
    <w:rsid w:val="00D7263D"/>
    <w:rsid w:val="00DA0ABA"/>
    <w:rsid w:val="00DD2E93"/>
    <w:rsid w:val="00DF5787"/>
    <w:rsid w:val="00EA3B69"/>
    <w:rsid w:val="00EA582A"/>
    <w:rsid w:val="00F2148C"/>
    <w:rsid w:val="00F4383A"/>
    <w:rsid w:val="00F94A82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3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B3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C71B36"/>
  </w:style>
  <w:style w:type="paragraph" w:styleId="a4">
    <w:name w:val="footer"/>
    <w:basedOn w:val="a"/>
    <w:link w:val="Char0"/>
    <w:uiPriority w:val="99"/>
    <w:semiHidden/>
    <w:unhideWhenUsed/>
    <w:rsid w:val="00C71B3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C71B36"/>
  </w:style>
  <w:style w:type="table" w:customStyle="1" w:styleId="1">
    <w:name w:val="浅色底纹1"/>
    <w:basedOn w:val="a1"/>
    <w:next w:val="a1"/>
    <w:uiPriority w:val="60"/>
    <w:rsid w:val="00C71B36"/>
    <w:pPr>
      <w:spacing w:after="0" w:line="240" w:lineRule="auto"/>
    </w:pPr>
    <w:rPr>
      <w:color w:val="000000"/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5">
    <w:name w:val="annotation reference"/>
    <w:basedOn w:val="a0"/>
    <w:uiPriority w:val="99"/>
    <w:semiHidden/>
    <w:unhideWhenUsed/>
    <w:rsid w:val="00C71B36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C71B36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C71B36"/>
    <w:rPr>
      <w:kern w:val="2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C71B36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1B36"/>
    <w:rPr>
      <w:rFonts w:ascii="宋体" w:eastAsia="宋体"/>
      <w:kern w:val="2"/>
      <w:sz w:val="18"/>
      <w:szCs w:val="18"/>
    </w:rPr>
  </w:style>
  <w:style w:type="table" w:styleId="a8">
    <w:name w:val="Table Grid"/>
    <w:basedOn w:val="a1"/>
    <w:uiPriority w:val="39"/>
    <w:rsid w:val="00B00C99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33</cp:revision>
  <dcterms:created xsi:type="dcterms:W3CDTF">2018-07-06T09:03:00Z</dcterms:created>
  <dcterms:modified xsi:type="dcterms:W3CDTF">2019-06-11T17:46:00Z</dcterms:modified>
</cp:coreProperties>
</file>