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B0AAB" w14:textId="77777777" w:rsidR="00C41D31" w:rsidRPr="00F61F7E" w:rsidRDefault="00C41D31" w:rsidP="00C41D31">
      <w:pPr>
        <w:spacing w:line="480" w:lineRule="auto"/>
        <w:outlineLvl w:val="0"/>
        <w:rPr>
          <w:rFonts w:cstheme="minorHAnsi"/>
          <w:b/>
          <w:szCs w:val="28"/>
        </w:rPr>
      </w:pPr>
      <w:r w:rsidRPr="00F61F7E">
        <w:rPr>
          <w:rFonts w:cstheme="minorHAnsi"/>
          <w:b/>
          <w:szCs w:val="28"/>
        </w:rPr>
        <w:t>Table S1: Description of parameters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130"/>
        <w:gridCol w:w="1263"/>
        <w:gridCol w:w="900"/>
        <w:gridCol w:w="893"/>
      </w:tblGrid>
      <w:tr w:rsidR="00C41D31" w14:paraId="025DB569" w14:textId="77777777" w:rsidTr="00BF091D">
        <w:tc>
          <w:tcPr>
            <w:tcW w:w="1170" w:type="dxa"/>
            <w:tcBorders>
              <w:top w:val="single" w:sz="4" w:space="0" w:color="auto"/>
              <w:bottom w:val="single" w:sz="4" w:space="0" w:color="auto"/>
            </w:tcBorders>
          </w:tcPr>
          <w:p w14:paraId="4BB530A4" w14:textId="77777777" w:rsidR="00C41D31" w:rsidRPr="00DC06A1" w:rsidRDefault="00C41D31" w:rsidP="00BF091D">
            <w:pPr>
              <w:spacing w:line="480" w:lineRule="auto"/>
              <w:jc w:val="center"/>
              <w:rPr>
                <w:rFonts w:cstheme="minorHAnsi"/>
                <w:b/>
                <w:sz w:val="18"/>
                <w:szCs w:val="18"/>
              </w:rPr>
            </w:pPr>
            <w:r w:rsidRPr="00DC06A1">
              <w:rPr>
                <w:rFonts w:cstheme="minorHAnsi"/>
                <w:b/>
                <w:sz w:val="18"/>
                <w:szCs w:val="18"/>
              </w:rPr>
              <w:t>Parameter</w:t>
            </w:r>
          </w:p>
        </w:tc>
        <w:tc>
          <w:tcPr>
            <w:tcW w:w="5130" w:type="dxa"/>
            <w:tcBorders>
              <w:top w:val="single" w:sz="4" w:space="0" w:color="auto"/>
              <w:bottom w:val="single" w:sz="4" w:space="0" w:color="auto"/>
            </w:tcBorders>
          </w:tcPr>
          <w:p w14:paraId="0117DA6D" w14:textId="77777777" w:rsidR="00C41D31" w:rsidRPr="00DC06A1" w:rsidRDefault="00C41D31" w:rsidP="00BF091D">
            <w:pPr>
              <w:spacing w:line="480" w:lineRule="auto"/>
              <w:jc w:val="center"/>
              <w:rPr>
                <w:rFonts w:cstheme="minorHAnsi"/>
                <w:b/>
                <w:sz w:val="18"/>
                <w:szCs w:val="18"/>
              </w:rPr>
            </w:pPr>
            <w:r w:rsidRPr="00DC06A1">
              <w:rPr>
                <w:rFonts w:cstheme="minorHAnsi"/>
                <w:b/>
                <w:sz w:val="18"/>
                <w:szCs w:val="18"/>
              </w:rPr>
              <w:t>Description</w:t>
            </w:r>
          </w:p>
        </w:tc>
        <w:tc>
          <w:tcPr>
            <w:tcW w:w="1263" w:type="dxa"/>
            <w:tcBorders>
              <w:top w:val="single" w:sz="4" w:space="0" w:color="auto"/>
              <w:bottom w:val="single" w:sz="4" w:space="0" w:color="auto"/>
            </w:tcBorders>
          </w:tcPr>
          <w:p w14:paraId="0B2328B8" w14:textId="77777777" w:rsidR="00C41D31" w:rsidRPr="00DC06A1" w:rsidRDefault="00C41D31" w:rsidP="00BF091D">
            <w:pPr>
              <w:spacing w:line="480" w:lineRule="auto"/>
              <w:jc w:val="center"/>
              <w:rPr>
                <w:rFonts w:cstheme="minorHAnsi"/>
                <w:b/>
                <w:sz w:val="18"/>
                <w:szCs w:val="18"/>
              </w:rPr>
            </w:pPr>
            <w:r w:rsidRPr="00DC06A1">
              <w:rPr>
                <w:rFonts w:cstheme="minorHAnsi"/>
                <w:b/>
                <w:sz w:val="18"/>
                <w:szCs w:val="18"/>
              </w:rPr>
              <w:t>Value</w:t>
            </w:r>
          </w:p>
        </w:tc>
        <w:tc>
          <w:tcPr>
            <w:tcW w:w="900" w:type="dxa"/>
            <w:tcBorders>
              <w:top w:val="single" w:sz="4" w:space="0" w:color="auto"/>
              <w:bottom w:val="single" w:sz="4" w:space="0" w:color="auto"/>
            </w:tcBorders>
          </w:tcPr>
          <w:p w14:paraId="5EDDD942" w14:textId="77777777" w:rsidR="00C41D31" w:rsidRPr="00DC06A1" w:rsidRDefault="00C41D31" w:rsidP="00BF091D">
            <w:pPr>
              <w:spacing w:line="480" w:lineRule="auto"/>
              <w:jc w:val="center"/>
              <w:rPr>
                <w:rFonts w:cstheme="minorHAnsi"/>
                <w:b/>
                <w:sz w:val="18"/>
                <w:szCs w:val="18"/>
              </w:rPr>
            </w:pPr>
            <w:r w:rsidRPr="00DC06A1">
              <w:rPr>
                <w:rFonts w:cstheme="minorHAnsi"/>
                <w:b/>
                <w:sz w:val="18"/>
                <w:szCs w:val="18"/>
              </w:rPr>
              <w:t>Dim.</w:t>
            </w:r>
          </w:p>
        </w:tc>
        <w:tc>
          <w:tcPr>
            <w:tcW w:w="893" w:type="dxa"/>
            <w:tcBorders>
              <w:top w:val="single" w:sz="4" w:space="0" w:color="auto"/>
              <w:bottom w:val="single" w:sz="4" w:space="0" w:color="auto"/>
            </w:tcBorders>
          </w:tcPr>
          <w:p w14:paraId="7FE4AA14" w14:textId="77777777" w:rsidR="00C41D31" w:rsidRPr="00DC06A1" w:rsidRDefault="00C41D31" w:rsidP="00BF091D">
            <w:pPr>
              <w:spacing w:line="480" w:lineRule="auto"/>
              <w:jc w:val="center"/>
              <w:rPr>
                <w:rFonts w:cstheme="minorHAnsi"/>
                <w:b/>
                <w:sz w:val="18"/>
                <w:szCs w:val="18"/>
              </w:rPr>
            </w:pPr>
            <w:r w:rsidRPr="00DC06A1">
              <w:rPr>
                <w:rFonts w:cstheme="minorHAnsi"/>
                <w:b/>
                <w:sz w:val="18"/>
                <w:szCs w:val="18"/>
              </w:rPr>
              <w:t>Source</w:t>
            </w:r>
          </w:p>
        </w:tc>
      </w:tr>
      <w:tr w:rsidR="00C41D31" w14:paraId="54C8539F" w14:textId="77777777" w:rsidTr="00BF091D">
        <w:tc>
          <w:tcPr>
            <w:tcW w:w="1170" w:type="dxa"/>
            <w:tcBorders>
              <w:top w:val="single" w:sz="4" w:space="0" w:color="auto"/>
            </w:tcBorders>
          </w:tcPr>
          <w:p w14:paraId="60051F3C" w14:textId="77777777" w:rsidR="00C41D31" w:rsidRPr="00DC06A1" w:rsidRDefault="00C41D31" w:rsidP="00BF091D">
            <w:pPr>
              <w:spacing w:line="480" w:lineRule="auto"/>
              <w:jc w:val="center"/>
              <w:rPr>
                <w:rFonts w:cstheme="minorHAnsi"/>
                <w:sz w:val="18"/>
                <w:szCs w:val="18"/>
              </w:rPr>
            </w:pPr>
            <w:r>
              <w:rPr>
                <w:rFonts w:cstheme="minorHAnsi"/>
                <w:sz w:val="18"/>
                <w:szCs w:val="18"/>
              </w:rPr>
              <w:t>δ</w:t>
            </w:r>
          </w:p>
        </w:tc>
        <w:tc>
          <w:tcPr>
            <w:tcW w:w="5130" w:type="dxa"/>
            <w:tcBorders>
              <w:top w:val="single" w:sz="4" w:space="0" w:color="auto"/>
            </w:tcBorders>
          </w:tcPr>
          <w:p w14:paraId="3F8C3371" w14:textId="77777777" w:rsidR="00C41D31" w:rsidRPr="00DC06A1" w:rsidRDefault="00C41D31" w:rsidP="00BF091D">
            <w:pPr>
              <w:spacing w:line="480" w:lineRule="auto"/>
              <w:rPr>
                <w:rFonts w:cstheme="minorHAnsi"/>
                <w:sz w:val="18"/>
                <w:szCs w:val="18"/>
              </w:rPr>
            </w:pPr>
            <w:r w:rsidRPr="00DC06A1">
              <w:rPr>
                <w:rFonts w:cstheme="minorHAnsi"/>
                <w:sz w:val="18"/>
                <w:szCs w:val="18"/>
              </w:rPr>
              <w:t>proportion of exposure experienced away from home patch</w:t>
            </w:r>
          </w:p>
        </w:tc>
        <w:tc>
          <w:tcPr>
            <w:tcW w:w="1263" w:type="dxa"/>
            <w:tcBorders>
              <w:top w:val="single" w:sz="4" w:space="0" w:color="auto"/>
            </w:tcBorders>
          </w:tcPr>
          <w:p w14:paraId="009E3D16"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0.4</w:t>
            </w:r>
          </w:p>
        </w:tc>
        <w:tc>
          <w:tcPr>
            <w:tcW w:w="900" w:type="dxa"/>
            <w:tcBorders>
              <w:top w:val="single" w:sz="4" w:space="0" w:color="auto"/>
            </w:tcBorders>
          </w:tcPr>
          <w:p w14:paraId="519A2FF6"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d</w:t>
            </w:r>
            <w:r w:rsidRPr="00DC06A1">
              <w:rPr>
                <w:rFonts w:cstheme="minorHAnsi"/>
                <w:sz w:val="18"/>
                <w:szCs w:val="18"/>
                <w:vertAlign w:val="superscript"/>
              </w:rPr>
              <w:t>-1</w:t>
            </w:r>
          </w:p>
        </w:tc>
        <w:tc>
          <w:tcPr>
            <w:tcW w:w="893" w:type="dxa"/>
            <w:tcBorders>
              <w:top w:val="single" w:sz="4" w:space="0" w:color="auto"/>
            </w:tcBorders>
          </w:tcPr>
          <w:p w14:paraId="232EC856"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w:t>
            </w:r>
          </w:p>
        </w:tc>
      </w:tr>
      <w:tr w:rsidR="00C41D31" w14:paraId="7F8C134E" w14:textId="77777777" w:rsidTr="00BF091D">
        <w:tc>
          <w:tcPr>
            <w:tcW w:w="1170" w:type="dxa"/>
            <w:shd w:val="clear" w:color="auto" w:fill="F2F2F2" w:themeFill="background1" w:themeFillShade="F2"/>
          </w:tcPr>
          <w:p w14:paraId="243CE670" w14:textId="77777777" w:rsidR="00C41D31" w:rsidRPr="00DC06A1" w:rsidRDefault="00C41D31" w:rsidP="00BF091D">
            <w:pPr>
              <w:spacing w:line="480" w:lineRule="auto"/>
              <w:jc w:val="center"/>
              <w:rPr>
                <w:rFonts w:cstheme="minorHAnsi"/>
                <w:sz w:val="18"/>
                <w:szCs w:val="18"/>
              </w:rPr>
            </w:pPr>
            <w:r>
              <w:rPr>
                <w:rFonts w:cstheme="minorHAnsi"/>
                <w:sz w:val="18"/>
                <w:szCs w:val="18"/>
              </w:rPr>
              <w:t>a</w:t>
            </w:r>
          </w:p>
        </w:tc>
        <w:tc>
          <w:tcPr>
            <w:tcW w:w="5130" w:type="dxa"/>
            <w:shd w:val="clear" w:color="auto" w:fill="F2F2F2" w:themeFill="background1" w:themeFillShade="F2"/>
          </w:tcPr>
          <w:p w14:paraId="4F610AD6" w14:textId="77777777" w:rsidR="00C41D31" w:rsidRPr="00DC06A1" w:rsidRDefault="00C41D31" w:rsidP="00BF091D">
            <w:pPr>
              <w:spacing w:line="480" w:lineRule="auto"/>
              <w:rPr>
                <w:rFonts w:cstheme="minorHAnsi"/>
                <w:sz w:val="18"/>
                <w:szCs w:val="18"/>
              </w:rPr>
            </w:pPr>
            <w:r w:rsidRPr="00DC06A1">
              <w:rPr>
                <w:rFonts w:cstheme="minorHAnsi"/>
                <w:sz w:val="18"/>
                <w:szCs w:val="18"/>
              </w:rPr>
              <w:t>inverse of gonotrophic cycle duration</w:t>
            </w:r>
          </w:p>
        </w:tc>
        <w:tc>
          <w:tcPr>
            <w:tcW w:w="1263" w:type="dxa"/>
            <w:shd w:val="clear" w:color="auto" w:fill="F2F2F2" w:themeFill="background1" w:themeFillShade="F2"/>
          </w:tcPr>
          <w:p w14:paraId="58E99DC4" w14:textId="70F248F7" w:rsidR="00C41D31" w:rsidRPr="00DC06A1" w:rsidRDefault="00C41D31" w:rsidP="00BF091D">
            <w:pPr>
              <w:spacing w:line="480" w:lineRule="auto"/>
              <w:jc w:val="center"/>
              <w:rPr>
                <w:rFonts w:cstheme="minorHAnsi"/>
                <w:sz w:val="18"/>
                <w:szCs w:val="18"/>
              </w:rPr>
            </w:pPr>
            <w:r w:rsidRPr="00DC06A1">
              <w:rPr>
                <w:rFonts w:cstheme="minorHAnsi"/>
                <w:sz w:val="18"/>
                <w:szCs w:val="18"/>
              </w:rPr>
              <w:t>0.</w:t>
            </w:r>
            <w:r w:rsidR="00D93EF5">
              <w:rPr>
                <w:rFonts w:cstheme="minorHAnsi"/>
                <w:sz w:val="18"/>
                <w:szCs w:val="18"/>
              </w:rPr>
              <w:t>5</w:t>
            </w:r>
          </w:p>
        </w:tc>
        <w:tc>
          <w:tcPr>
            <w:tcW w:w="900" w:type="dxa"/>
            <w:shd w:val="clear" w:color="auto" w:fill="F2F2F2" w:themeFill="background1" w:themeFillShade="F2"/>
          </w:tcPr>
          <w:p w14:paraId="155642DF"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d</w:t>
            </w:r>
            <w:r w:rsidRPr="00DC06A1">
              <w:rPr>
                <w:rFonts w:cstheme="minorHAnsi"/>
                <w:sz w:val="18"/>
                <w:szCs w:val="18"/>
                <w:vertAlign w:val="superscript"/>
              </w:rPr>
              <w:t>-1</w:t>
            </w:r>
          </w:p>
        </w:tc>
        <w:tc>
          <w:tcPr>
            <w:tcW w:w="893" w:type="dxa"/>
            <w:shd w:val="clear" w:color="auto" w:fill="F2F2F2" w:themeFill="background1" w:themeFillShade="F2"/>
          </w:tcPr>
          <w:p w14:paraId="2950103F" w14:textId="54FBE9DA" w:rsidR="00C41D31" w:rsidRPr="00DC06A1" w:rsidRDefault="00D93EF5" w:rsidP="00BF091D">
            <w:pPr>
              <w:spacing w:line="480" w:lineRule="auto"/>
              <w:jc w:val="center"/>
              <w:rPr>
                <w:rFonts w:cstheme="minorHAnsi"/>
                <w:sz w:val="18"/>
                <w:szCs w:val="18"/>
              </w:rPr>
            </w:pPr>
            <w:r>
              <w:rPr>
                <w:rFonts w:cstheme="minorHAnsi"/>
                <w:sz w:val="18"/>
                <w:szCs w:val="18"/>
              </w:rPr>
              <w:t>-</w:t>
            </w:r>
          </w:p>
        </w:tc>
      </w:tr>
      <w:tr w:rsidR="00C41D31" w14:paraId="7E754C7C" w14:textId="77777777" w:rsidTr="00BF091D">
        <w:tc>
          <w:tcPr>
            <w:tcW w:w="1170" w:type="dxa"/>
          </w:tcPr>
          <w:p w14:paraId="3BCD900C" w14:textId="77777777" w:rsidR="00C41D31" w:rsidRPr="00DC06A1" w:rsidRDefault="00C41D31" w:rsidP="00BF091D">
            <w:pPr>
              <w:spacing w:line="480" w:lineRule="auto"/>
              <w:jc w:val="center"/>
              <w:rPr>
                <w:rFonts w:cstheme="minorHAnsi"/>
                <w:sz w:val="18"/>
                <w:szCs w:val="18"/>
              </w:rPr>
            </w:pPr>
            <w:r>
              <w:rPr>
                <w:rFonts w:cstheme="minorHAnsi"/>
                <w:sz w:val="18"/>
                <w:szCs w:val="18"/>
              </w:rPr>
              <w:t>b</w:t>
            </w:r>
          </w:p>
        </w:tc>
        <w:tc>
          <w:tcPr>
            <w:tcW w:w="5130" w:type="dxa"/>
          </w:tcPr>
          <w:p w14:paraId="581BE7D0" w14:textId="77777777" w:rsidR="00C41D31" w:rsidRPr="00DC06A1" w:rsidRDefault="00C41D31" w:rsidP="00BF091D">
            <w:pPr>
              <w:spacing w:line="480" w:lineRule="auto"/>
              <w:rPr>
                <w:rFonts w:cstheme="minorHAnsi"/>
                <w:sz w:val="18"/>
                <w:szCs w:val="18"/>
              </w:rPr>
            </w:pPr>
            <w:r w:rsidRPr="00DC06A1">
              <w:rPr>
                <w:rFonts w:cstheme="minorHAnsi"/>
                <w:sz w:val="18"/>
                <w:szCs w:val="18"/>
              </w:rPr>
              <w:t>probability of a host becoming infected upon receiving an infectious bite</w:t>
            </w:r>
          </w:p>
        </w:tc>
        <w:tc>
          <w:tcPr>
            <w:tcW w:w="1263" w:type="dxa"/>
          </w:tcPr>
          <w:p w14:paraId="4198ED08"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0.35</w:t>
            </w:r>
          </w:p>
        </w:tc>
        <w:tc>
          <w:tcPr>
            <w:tcW w:w="900" w:type="dxa"/>
          </w:tcPr>
          <w:p w14:paraId="22CA16E9"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w:t>
            </w:r>
          </w:p>
        </w:tc>
        <w:tc>
          <w:tcPr>
            <w:tcW w:w="893" w:type="dxa"/>
          </w:tcPr>
          <w:p w14:paraId="3DDDBBAA" w14:textId="3E18AA61" w:rsidR="00C41D31" w:rsidRPr="00DC06A1" w:rsidRDefault="00C41D31" w:rsidP="00BF091D">
            <w:pPr>
              <w:spacing w:line="480" w:lineRule="auto"/>
              <w:jc w:val="center"/>
              <w:rPr>
                <w:rFonts w:cstheme="minorHAnsi"/>
                <w:sz w:val="18"/>
                <w:szCs w:val="18"/>
              </w:rPr>
            </w:pPr>
            <w:r>
              <w:rPr>
                <w:rFonts w:cstheme="minorHAnsi"/>
                <w:sz w:val="18"/>
                <w:szCs w:val="18"/>
              </w:rPr>
              <w:fldChar w:fldCharType="begin"/>
            </w:r>
            <w:r w:rsidR="00412373">
              <w:rPr>
                <w:rFonts w:cstheme="minorHAnsi"/>
                <w:sz w:val="18"/>
                <w:szCs w:val="18"/>
              </w:rPr>
              <w:instrText xml:space="preserve"> ADDIN EN.CITE &lt;EndNote&gt;&lt;Cite&gt;&lt;Author&gt;Manore&lt;/Author&gt;&lt;Year&gt;2017&lt;/Year&gt;&lt;RecNum&gt;836&lt;/RecNum&gt;&lt;DisplayText&gt;[1]&lt;/DisplayText&gt;&lt;record&gt;&lt;rec-number&gt;836&lt;/rec-number&gt;&lt;foreign-keys&gt;&lt;key app="EN" db-id="9a5dapd0f5r20sedrdopr29szrp2evd2rf9s" timestamp="1522171260"&gt;836&lt;/key&gt;&lt;/foreign-keys&gt;&lt;ref-type name="Journal Article"&gt;17&lt;/ref-type&gt;&lt;contributors&gt;&lt;authors&gt;&lt;author&gt;Manore, C&lt;/author&gt;&lt;author&gt;Ostfeld, R&lt;/author&gt;&lt;author&gt;Agusto, F&lt;/author&gt;&lt;author&gt;Gaff, H&lt;/author&gt;&lt;author&gt;Ladeau, S&lt;/author&gt;&lt;/authors&gt;&lt;/contributors&gt;&lt;titles&gt;&lt;title&gt;Defining the risk of Zika and chikungunya virus transmission in human population centers of the eastern United States.&lt;/title&gt;&lt;secondary-title&gt;PLoS Negl Trop Dis&lt;/secondary-title&gt;&lt;/titles&gt;&lt;periodical&gt;&lt;full-title&gt;PLoS Negl Trop Dis&lt;/full-title&gt;&lt;/periodical&gt;&lt;pages&gt;e0005255&lt;/pages&gt;&lt;volume&gt;11&lt;/volume&gt;&lt;dates&gt;&lt;year&gt;2017&lt;/year&gt;&lt;/dates&gt;&lt;urls&gt;&lt;/urls&gt;&lt;/record&gt;&lt;/Cite&gt;&lt;/EndNote&gt;</w:instrText>
            </w:r>
            <w:r>
              <w:rPr>
                <w:rFonts w:cstheme="minorHAnsi"/>
                <w:sz w:val="18"/>
                <w:szCs w:val="18"/>
              </w:rPr>
              <w:fldChar w:fldCharType="separate"/>
            </w:r>
            <w:r w:rsidR="00412373">
              <w:rPr>
                <w:rFonts w:cstheme="minorHAnsi"/>
                <w:noProof/>
                <w:sz w:val="18"/>
                <w:szCs w:val="18"/>
              </w:rPr>
              <w:t>[1]</w:t>
            </w:r>
            <w:r>
              <w:rPr>
                <w:rFonts w:cstheme="minorHAnsi"/>
                <w:sz w:val="18"/>
                <w:szCs w:val="18"/>
              </w:rPr>
              <w:fldChar w:fldCharType="end"/>
            </w:r>
          </w:p>
        </w:tc>
      </w:tr>
      <w:tr w:rsidR="00C41D31" w14:paraId="5820EC84" w14:textId="77777777" w:rsidTr="00BF091D">
        <w:tc>
          <w:tcPr>
            <w:tcW w:w="1170" w:type="dxa"/>
            <w:shd w:val="clear" w:color="auto" w:fill="F2F2F2" w:themeFill="background1" w:themeFillShade="F2"/>
          </w:tcPr>
          <w:p w14:paraId="7504282E" w14:textId="77777777" w:rsidR="00C41D31" w:rsidRPr="00DC06A1" w:rsidRDefault="00C41D31" w:rsidP="00BF091D">
            <w:pPr>
              <w:spacing w:line="480" w:lineRule="auto"/>
              <w:jc w:val="center"/>
              <w:rPr>
                <w:rFonts w:cstheme="minorHAnsi"/>
                <w:sz w:val="18"/>
                <w:szCs w:val="18"/>
              </w:rPr>
            </w:pPr>
            <w:r>
              <w:rPr>
                <w:rFonts w:cstheme="minorHAnsi"/>
                <w:sz w:val="18"/>
                <w:szCs w:val="18"/>
              </w:rPr>
              <w:t>c</w:t>
            </w:r>
          </w:p>
        </w:tc>
        <w:tc>
          <w:tcPr>
            <w:tcW w:w="5130" w:type="dxa"/>
            <w:shd w:val="clear" w:color="auto" w:fill="F2F2F2" w:themeFill="background1" w:themeFillShade="F2"/>
          </w:tcPr>
          <w:p w14:paraId="3B8665B9" w14:textId="77777777" w:rsidR="00C41D31" w:rsidRPr="00DC06A1" w:rsidRDefault="00C41D31" w:rsidP="00BF091D">
            <w:pPr>
              <w:spacing w:line="480" w:lineRule="auto"/>
              <w:rPr>
                <w:rFonts w:cstheme="minorHAnsi"/>
                <w:sz w:val="18"/>
                <w:szCs w:val="18"/>
              </w:rPr>
            </w:pPr>
            <w:r w:rsidRPr="00DC06A1">
              <w:rPr>
                <w:rFonts w:cstheme="minorHAnsi"/>
                <w:sz w:val="18"/>
                <w:szCs w:val="18"/>
              </w:rPr>
              <w:t>probability of a vector becoming infected upon biting an infective host</w:t>
            </w:r>
          </w:p>
        </w:tc>
        <w:tc>
          <w:tcPr>
            <w:tcW w:w="1263" w:type="dxa"/>
            <w:shd w:val="clear" w:color="auto" w:fill="F2F2F2" w:themeFill="background1" w:themeFillShade="F2"/>
          </w:tcPr>
          <w:p w14:paraId="2DF92B2C" w14:textId="77777777" w:rsidR="00C41D31" w:rsidRPr="00DC06A1" w:rsidRDefault="00C41D31" w:rsidP="00BF091D">
            <w:pPr>
              <w:spacing w:line="480" w:lineRule="auto"/>
              <w:jc w:val="center"/>
              <w:rPr>
                <w:rFonts w:cstheme="minorHAnsi"/>
                <w:sz w:val="18"/>
                <w:szCs w:val="18"/>
              </w:rPr>
            </w:pPr>
            <w:r>
              <w:rPr>
                <w:rFonts w:cstheme="minorHAnsi"/>
                <w:sz w:val="18"/>
                <w:szCs w:val="18"/>
              </w:rPr>
              <w:t>0.31</w:t>
            </w:r>
          </w:p>
        </w:tc>
        <w:tc>
          <w:tcPr>
            <w:tcW w:w="900" w:type="dxa"/>
            <w:shd w:val="clear" w:color="auto" w:fill="F2F2F2" w:themeFill="background1" w:themeFillShade="F2"/>
          </w:tcPr>
          <w:p w14:paraId="4AF9FCF8" w14:textId="77777777" w:rsidR="00C41D31" w:rsidRPr="00DC06A1" w:rsidRDefault="00C41D31" w:rsidP="00BF091D">
            <w:pPr>
              <w:spacing w:line="480" w:lineRule="auto"/>
              <w:jc w:val="center"/>
              <w:rPr>
                <w:rFonts w:cstheme="minorHAnsi"/>
                <w:sz w:val="18"/>
                <w:szCs w:val="18"/>
              </w:rPr>
            </w:pPr>
            <w:r>
              <w:rPr>
                <w:rFonts w:cstheme="minorHAnsi"/>
                <w:sz w:val="18"/>
                <w:szCs w:val="18"/>
              </w:rPr>
              <w:t>-</w:t>
            </w:r>
          </w:p>
        </w:tc>
        <w:tc>
          <w:tcPr>
            <w:tcW w:w="893" w:type="dxa"/>
            <w:shd w:val="clear" w:color="auto" w:fill="F2F2F2" w:themeFill="background1" w:themeFillShade="F2"/>
          </w:tcPr>
          <w:p w14:paraId="736A8298" w14:textId="6A78D548" w:rsidR="00C41D31" w:rsidRPr="00DC06A1" w:rsidRDefault="00C41D31" w:rsidP="00BF091D">
            <w:pPr>
              <w:spacing w:line="480" w:lineRule="auto"/>
              <w:jc w:val="center"/>
              <w:rPr>
                <w:rFonts w:cstheme="minorHAnsi"/>
                <w:sz w:val="18"/>
                <w:szCs w:val="18"/>
              </w:rPr>
            </w:pPr>
            <w:r>
              <w:rPr>
                <w:rFonts w:cstheme="minorHAnsi"/>
                <w:sz w:val="18"/>
                <w:szCs w:val="18"/>
              </w:rPr>
              <w:fldChar w:fldCharType="begin"/>
            </w:r>
            <w:r w:rsidR="00412373">
              <w:rPr>
                <w:rFonts w:cstheme="minorHAnsi"/>
                <w:sz w:val="18"/>
                <w:szCs w:val="18"/>
              </w:rPr>
              <w:instrText xml:space="preserve"> ADDIN EN.CITE &lt;EndNote&gt;&lt;Cite&gt;&lt;Author&gt;Manore&lt;/Author&gt;&lt;Year&gt;2017&lt;/Year&gt;&lt;RecNum&gt;836&lt;/RecNum&gt;&lt;DisplayText&gt;[1]&lt;/DisplayText&gt;&lt;record&gt;&lt;rec-number&gt;836&lt;/rec-number&gt;&lt;foreign-keys&gt;&lt;key app="EN" db-id="9a5dapd0f5r20sedrdopr29szrp2evd2rf9s" timestamp="1522171260"&gt;836&lt;/key&gt;&lt;/foreign-keys&gt;&lt;ref-type name="Journal Article"&gt;17&lt;/ref-type&gt;&lt;contributors&gt;&lt;authors&gt;&lt;author&gt;Manore, C&lt;/author&gt;&lt;author&gt;Ostfeld, R&lt;/author&gt;&lt;author&gt;Agusto, F&lt;/author&gt;&lt;author&gt;Gaff, H&lt;/author&gt;&lt;author&gt;Ladeau, S&lt;/author&gt;&lt;/authors&gt;&lt;/contributors&gt;&lt;titles&gt;&lt;title&gt;Defining the risk of Zika and chikungunya virus transmission in human population centers of the eastern United States.&lt;/title&gt;&lt;secondary-title&gt;PLoS Negl Trop Dis&lt;/secondary-title&gt;&lt;/titles&gt;&lt;periodical&gt;&lt;full-title&gt;PLoS Negl Trop Dis&lt;/full-title&gt;&lt;/periodical&gt;&lt;pages&gt;e0005255&lt;/pages&gt;&lt;volume&gt;11&lt;/volume&gt;&lt;dates&gt;&lt;year&gt;2017&lt;/year&gt;&lt;/dates&gt;&lt;urls&gt;&lt;/urls&gt;&lt;/record&gt;&lt;/Cite&gt;&lt;/EndNote&gt;</w:instrText>
            </w:r>
            <w:r>
              <w:rPr>
                <w:rFonts w:cstheme="minorHAnsi"/>
                <w:sz w:val="18"/>
                <w:szCs w:val="18"/>
              </w:rPr>
              <w:fldChar w:fldCharType="separate"/>
            </w:r>
            <w:r w:rsidR="00412373">
              <w:rPr>
                <w:rFonts w:cstheme="minorHAnsi"/>
                <w:noProof/>
                <w:sz w:val="18"/>
                <w:szCs w:val="18"/>
              </w:rPr>
              <w:t>[1]</w:t>
            </w:r>
            <w:r>
              <w:rPr>
                <w:rFonts w:cstheme="minorHAnsi"/>
                <w:sz w:val="18"/>
                <w:szCs w:val="18"/>
              </w:rPr>
              <w:fldChar w:fldCharType="end"/>
            </w:r>
          </w:p>
        </w:tc>
      </w:tr>
      <w:tr w:rsidR="00C41D31" w14:paraId="00265D02" w14:textId="77777777" w:rsidTr="00BF091D">
        <w:tc>
          <w:tcPr>
            <w:tcW w:w="1170" w:type="dxa"/>
          </w:tcPr>
          <w:p w14:paraId="021E61FE" w14:textId="77777777" w:rsidR="00C41D31" w:rsidRPr="00DC06A1" w:rsidRDefault="00C41D31" w:rsidP="00BF091D">
            <w:pPr>
              <w:spacing w:line="480" w:lineRule="auto"/>
              <w:jc w:val="center"/>
              <w:rPr>
                <w:rFonts w:cstheme="minorHAnsi"/>
                <w:sz w:val="18"/>
                <w:szCs w:val="18"/>
              </w:rPr>
            </w:pPr>
            <w:proofErr w:type="spellStart"/>
            <w:r>
              <w:rPr>
                <w:rFonts w:cstheme="minorHAnsi"/>
                <w:sz w:val="18"/>
                <w:szCs w:val="18"/>
              </w:rPr>
              <w:t>τ</w:t>
            </w:r>
            <w:r w:rsidRPr="00591059">
              <w:rPr>
                <w:rFonts w:cstheme="minorHAnsi"/>
                <w:sz w:val="18"/>
                <w:szCs w:val="18"/>
                <w:vertAlign w:val="subscript"/>
              </w:rPr>
              <w:t>h</w:t>
            </w:r>
            <w:proofErr w:type="spellEnd"/>
          </w:p>
        </w:tc>
        <w:tc>
          <w:tcPr>
            <w:tcW w:w="5130" w:type="dxa"/>
          </w:tcPr>
          <w:p w14:paraId="62A1FF2D" w14:textId="77777777" w:rsidR="00C41D31" w:rsidRPr="00DC06A1" w:rsidRDefault="00C41D31" w:rsidP="00BF091D">
            <w:pPr>
              <w:spacing w:line="480" w:lineRule="auto"/>
              <w:rPr>
                <w:rFonts w:cstheme="minorHAnsi"/>
                <w:sz w:val="18"/>
                <w:szCs w:val="18"/>
              </w:rPr>
            </w:pPr>
            <w:r w:rsidRPr="00DC06A1">
              <w:rPr>
                <w:rFonts w:cstheme="minorHAnsi"/>
                <w:sz w:val="18"/>
                <w:szCs w:val="18"/>
              </w:rPr>
              <w:t xml:space="preserve">inverse of human latent period     </w:t>
            </w:r>
          </w:p>
        </w:tc>
        <w:tc>
          <w:tcPr>
            <w:tcW w:w="1263" w:type="dxa"/>
          </w:tcPr>
          <w:p w14:paraId="7BC73A23"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1/5.8</w:t>
            </w:r>
          </w:p>
        </w:tc>
        <w:tc>
          <w:tcPr>
            <w:tcW w:w="900" w:type="dxa"/>
          </w:tcPr>
          <w:p w14:paraId="250E4AED"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d</w:t>
            </w:r>
            <w:r w:rsidRPr="00DC06A1">
              <w:rPr>
                <w:rFonts w:cstheme="minorHAnsi"/>
                <w:sz w:val="18"/>
                <w:szCs w:val="18"/>
                <w:vertAlign w:val="superscript"/>
              </w:rPr>
              <w:t>-1</w:t>
            </w:r>
          </w:p>
        </w:tc>
        <w:tc>
          <w:tcPr>
            <w:tcW w:w="893" w:type="dxa"/>
          </w:tcPr>
          <w:p w14:paraId="305D2377" w14:textId="6ECC7D55" w:rsidR="00C41D31" w:rsidRPr="00DC06A1" w:rsidRDefault="00C41D31" w:rsidP="00BF091D">
            <w:pPr>
              <w:spacing w:line="480" w:lineRule="auto"/>
              <w:jc w:val="center"/>
              <w:rPr>
                <w:rFonts w:cstheme="minorHAnsi"/>
                <w:sz w:val="18"/>
                <w:szCs w:val="18"/>
              </w:rPr>
            </w:pPr>
            <w:r>
              <w:rPr>
                <w:rFonts w:cstheme="minorHAnsi"/>
                <w:sz w:val="18"/>
                <w:szCs w:val="18"/>
              </w:rPr>
              <w:fldChar w:fldCharType="begin"/>
            </w:r>
            <w:r w:rsidR="00412373">
              <w:rPr>
                <w:rFonts w:cstheme="minorHAnsi"/>
                <w:sz w:val="18"/>
                <w:szCs w:val="18"/>
              </w:rPr>
              <w:instrText xml:space="preserve"> ADDIN EN.CITE &lt;EndNote&gt;&lt;Cite&gt;&lt;Author&gt;Funk&lt;/Author&gt;&lt;Year&gt;2016&lt;/Year&gt;&lt;RecNum&gt;837&lt;/RecNum&gt;&lt;DisplayText&gt;[2]&lt;/DisplayText&gt;&lt;record&gt;&lt;rec-number&gt;837&lt;/rec-number&gt;&lt;foreign-keys&gt;&lt;key app="EN" db-id="9a5dapd0f5r20sedrdopr29szrp2evd2rf9s" timestamp="1522171509"&gt;837&lt;/key&gt;&lt;/foreign-keys&gt;&lt;ref-type name="Journal Article"&gt;17&lt;/ref-type&gt;&lt;contributors&gt;&lt;authors&gt;&lt;author&gt;Funk, S&lt;/author&gt;&lt;author&gt;Kucharski, A&lt;/author&gt;&lt;author&gt;Camacho, A&lt;/author&gt;&lt;author&gt;Eggo, R&lt;/author&gt;&lt;author&gt;Yakob, L&lt;/author&gt;&lt;author&gt;Edmunds, W&lt;/author&gt;&lt;/authors&gt;&lt;/contributors&gt;&lt;titles&gt;&lt;title&gt;Comparative analysis of dengue and Zika outbreaks reveals differences by setting and virus.&lt;/title&gt;&lt;secondary-title&gt;PLoS Negl Trop Dis&lt;/secondary-title&gt;&lt;/titles&gt;&lt;periodical&gt;&lt;full-title&gt;PLoS Negl Trop Dis&lt;/full-title&gt;&lt;/periodical&gt;&lt;pages&gt;e0005173&lt;/pages&gt;&lt;volume&gt;10&lt;/volume&gt;&lt;dates&gt;&lt;year&gt;2016&lt;/year&gt;&lt;/dates&gt;&lt;urls&gt;&lt;/urls&gt;&lt;/record&gt;&lt;/Cite&gt;&lt;/EndNote&gt;</w:instrText>
            </w:r>
            <w:r>
              <w:rPr>
                <w:rFonts w:cstheme="minorHAnsi"/>
                <w:sz w:val="18"/>
                <w:szCs w:val="18"/>
              </w:rPr>
              <w:fldChar w:fldCharType="separate"/>
            </w:r>
            <w:r w:rsidR="00412373">
              <w:rPr>
                <w:rFonts w:cstheme="minorHAnsi"/>
                <w:noProof/>
                <w:sz w:val="18"/>
                <w:szCs w:val="18"/>
              </w:rPr>
              <w:t>[2]</w:t>
            </w:r>
            <w:r>
              <w:rPr>
                <w:rFonts w:cstheme="minorHAnsi"/>
                <w:sz w:val="18"/>
                <w:szCs w:val="18"/>
              </w:rPr>
              <w:fldChar w:fldCharType="end"/>
            </w:r>
          </w:p>
        </w:tc>
      </w:tr>
      <w:tr w:rsidR="00C41D31" w14:paraId="0E48F440" w14:textId="77777777" w:rsidTr="00BF091D">
        <w:tc>
          <w:tcPr>
            <w:tcW w:w="1170" w:type="dxa"/>
            <w:shd w:val="clear" w:color="auto" w:fill="F2F2F2" w:themeFill="background1" w:themeFillShade="F2"/>
          </w:tcPr>
          <w:p w14:paraId="5ACAC1DC" w14:textId="77777777" w:rsidR="00C41D31" w:rsidRPr="00DC06A1" w:rsidRDefault="00C41D31" w:rsidP="00BF091D">
            <w:pPr>
              <w:spacing w:line="480" w:lineRule="auto"/>
              <w:jc w:val="center"/>
              <w:rPr>
                <w:rFonts w:cstheme="minorHAnsi"/>
                <w:sz w:val="18"/>
                <w:szCs w:val="18"/>
              </w:rPr>
            </w:pPr>
            <w:r>
              <w:rPr>
                <w:rFonts w:cstheme="minorHAnsi"/>
                <w:sz w:val="18"/>
                <w:szCs w:val="18"/>
              </w:rPr>
              <w:t>γ</w:t>
            </w:r>
          </w:p>
        </w:tc>
        <w:tc>
          <w:tcPr>
            <w:tcW w:w="5130" w:type="dxa"/>
            <w:shd w:val="clear" w:color="auto" w:fill="F2F2F2" w:themeFill="background1" w:themeFillShade="F2"/>
          </w:tcPr>
          <w:p w14:paraId="2F7BEE3D" w14:textId="77777777" w:rsidR="00C41D31" w:rsidRPr="00DC06A1" w:rsidRDefault="00C41D31" w:rsidP="00BF091D">
            <w:pPr>
              <w:spacing w:line="480" w:lineRule="auto"/>
              <w:rPr>
                <w:rFonts w:cstheme="minorHAnsi"/>
                <w:sz w:val="18"/>
                <w:szCs w:val="18"/>
              </w:rPr>
            </w:pPr>
            <w:r w:rsidRPr="00DC06A1">
              <w:rPr>
                <w:rFonts w:cstheme="minorHAnsi"/>
                <w:sz w:val="18"/>
                <w:szCs w:val="18"/>
              </w:rPr>
              <w:t xml:space="preserve">inverse of human infectious period     </w:t>
            </w:r>
          </w:p>
        </w:tc>
        <w:tc>
          <w:tcPr>
            <w:tcW w:w="1263" w:type="dxa"/>
            <w:shd w:val="clear" w:color="auto" w:fill="F2F2F2" w:themeFill="background1" w:themeFillShade="F2"/>
          </w:tcPr>
          <w:p w14:paraId="406F6FCE"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1/5.8</w:t>
            </w:r>
          </w:p>
        </w:tc>
        <w:tc>
          <w:tcPr>
            <w:tcW w:w="900" w:type="dxa"/>
            <w:shd w:val="clear" w:color="auto" w:fill="F2F2F2" w:themeFill="background1" w:themeFillShade="F2"/>
          </w:tcPr>
          <w:p w14:paraId="0E20FCEB"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d</w:t>
            </w:r>
            <w:r w:rsidRPr="00DC06A1">
              <w:rPr>
                <w:rFonts w:cstheme="minorHAnsi"/>
                <w:sz w:val="18"/>
                <w:szCs w:val="18"/>
                <w:vertAlign w:val="superscript"/>
              </w:rPr>
              <w:t>-1</w:t>
            </w:r>
          </w:p>
        </w:tc>
        <w:tc>
          <w:tcPr>
            <w:tcW w:w="893" w:type="dxa"/>
            <w:shd w:val="clear" w:color="auto" w:fill="F2F2F2" w:themeFill="background1" w:themeFillShade="F2"/>
          </w:tcPr>
          <w:p w14:paraId="22937700" w14:textId="3F556E71" w:rsidR="00C41D31" w:rsidRPr="00DC06A1" w:rsidRDefault="00C41D31" w:rsidP="00BF091D">
            <w:pPr>
              <w:spacing w:line="480" w:lineRule="auto"/>
              <w:jc w:val="center"/>
              <w:rPr>
                <w:rFonts w:cstheme="minorHAnsi"/>
                <w:sz w:val="18"/>
                <w:szCs w:val="18"/>
              </w:rPr>
            </w:pPr>
            <w:r>
              <w:rPr>
                <w:rFonts w:cstheme="minorHAnsi"/>
                <w:sz w:val="18"/>
                <w:szCs w:val="18"/>
              </w:rPr>
              <w:fldChar w:fldCharType="begin"/>
            </w:r>
            <w:r w:rsidR="00412373">
              <w:rPr>
                <w:rFonts w:cstheme="minorHAnsi"/>
                <w:sz w:val="18"/>
                <w:szCs w:val="18"/>
              </w:rPr>
              <w:instrText xml:space="preserve"> ADDIN EN.CITE &lt;EndNote&gt;&lt;Cite&gt;&lt;Author&gt;Funk&lt;/Author&gt;&lt;Year&gt;2016&lt;/Year&gt;&lt;RecNum&gt;837&lt;/RecNum&gt;&lt;DisplayText&gt;[2]&lt;/DisplayText&gt;&lt;record&gt;&lt;rec-number&gt;837&lt;/rec-number&gt;&lt;foreign-keys&gt;&lt;key app="EN" db-id="9a5dapd0f5r20sedrdopr29szrp2evd2rf9s" timestamp="1522171509"&gt;837&lt;/key&gt;&lt;/foreign-keys&gt;&lt;ref-type name="Journal Article"&gt;17&lt;/ref-type&gt;&lt;contributors&gt;&lt;authors&gt;&lt;author&gt;Funk, S&lt;/author&gt;&lt;author&gt;Kucharski, A&lt;/author&gt;&lt;author&gt;Camacho, A&lt;/author&gt;&lt;author&gt;Eggo, R&lt;/author&gt;&lt;author&gt;Yakob, L&lt;/author&gt;&lt;author&gt;Edmunds, W&lt;/author&gt;&lt;/authors&gt;&lt;/contributors&gt;&lt;titles&gt;&lt;title&gt;Comparative analysis of dengue and Zika outbreaks reveals differences by setting and virus.&lt;/title&gt;&lt;secondary-title&gt;PLoS Negl Trop Dis&lt;/secondary-title&gt;&lt;/titles&gt;&lt;periodical&gt;&lt;full-title&gt;PLoS Negl Trop Dis&lt;/full-title&gt;&lt;/periodical&gt;&lt;pages&gt;e0005173&lt;/pages&gt;&lt;volume&gt;10&lt;/volume&gt;&lt;dates&gt;&lt;year&gt;2016&lt;/year&gt;&lt;/dates&gt;&lt;urls&gt;&lt;/urls&gt;&lt;/record&gt;&lt;/Cite&gt;&lt;/EndNote&gt;</w:instrText>
            </w:r>
            <w:r>
              <w:rPr>
                <w:rFonts w:cstheme="minorHAnsi"/>
                <w:sz w:val="18"/>
                <w:szCs w:val="18"/>
              </w:rPr>
              <w:fldChar w:fldCharType="separate"/>
            </w:r>
            <w:r w:rsidR="00412373">
              <w:rPr>
                <w:rFonts w:cstheme="minorHAnsi"/>
                <w:noProof/>
                <w:sz w:val="18"/>
                <w:szCs w:val="18"/>
              </w:rPr>
              <w:t>[2]</w:t>
            </w:r>
            <w:r>
              <w:rPr>
                <w:rFonts w:cstheme="minorHAnsi"/>
                <w:sz w:val="18"/>
                <w:szCs w:val="18"/>
              </w:rPr>
              <w:fldChar w:fldCharType="end"/>
            </w:r>
          </w:p>
        </w:tc>
      </w:tr>
      <w:tr w:rsidR="00C41D31" w14:paraId="75553E0D" w14:textId="77777777" w:rsidTr="00BF091D">
        <w:tc>
          <w:tcPr>
            <w:tcW w:w="1170" w:type="dxa"/>
          </w:tcPr>
          <w:p w14:paraId="1FCEE609" w14:textId="77777777" w:rsidR="00C41D31" w:rsidRPr="00DC06A1" w:rsidRDefault="00C41D31" w:rsidP="00BF091D">
            <w:pPr>
              <w:spacing w:line="480" w:lineRule="auto"/>
              <w:jc w:val="center"/>
              <w:rPr>
                <w:rFonts w:cstheme="minorHAnsi"/>
                <w:sz w:val="18"/>
                <w:szCs w:val="18"/>
              </w:rPr>
            </w:pPr>
            <w:proofErr w:type="spellStart"/>
            <w:r>
              <w:rPr>
                <w:rFonts w:cstheme="minorHAnsi"/>
                <w:sz w:val="18"/>
                <w:szCs w:val="18"/>
              </w:rPr>
              <w:t>τ</w:t>
            </w:r>
            <w:r>
              <w:rPr>
                <w:rFonts w:cstheme="minorHAnsi"/>
                <w:sz w:val="18"/>
                <w:szCs w:val="18"/>
                <w:vertAlign w:val="subscript"/>
              </w:rPr>
              <w:t>v</w:t>
            </w:r>
            <w:proofErr w:type="spellEnd"/>
          </w:p>
        </w:tc>
        <w:tc>
          <w:tcPr>
            <w:tcW w:w="5130" w:type="dxa"/>
          </w:tcPr>
          <w:p w14:paraId="5F5BB63E" w14:textId="77777777" w:rsidR="00C41D31" w:rsidRPr="00DC06A1" w:rsidRDefault="00C41D31" w:rsidP="00BF091D">
            <w:pPr>
              <w:spacing w:line="480" w:lineRule="auto"/>
              <w:rPr>
                <w:rFonts w:cstheme="minorHAnsi"/>
                <w:sz w:val="18"/>
                <w:szCs w:val="18"/>
              </w:rPr>
            </w:pPr>
            <w:r w:rsidRPr="00DC06A1">
              <w:rPr>
                <w:rFonts w:cstheme="minorHAnsi"/>
                <w:sz w:val="18"/>
                <w:szCs w:val="18"/>
              </w:rPr>
              <w:t xml:space="preserve">inverse of extrinsic incubation period     </w:t>
            </w:r>
          </w:p>
        </w:tc>
        <w:tc>
          <w:tcPr>
            <w:tcW w:w="1263" w:type="dxa"/>
          </w:tcPr>
          <w:p w14:paraId="5C6B5398"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1/9.1</w:t>
            </w:r>
          </w:p>
        </w:tc>
        <w:tc>
          <w:tcPr>
            <w:tcW w:w="900" w:type="dxa"/>
          </w:tcPr>
          <w:p w14:paraId="1C72DDB7"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d</w:t>
            </w:r>
            <w:r w:rsidRPr="00DC06A1">
              <w:rPr>
                <w:rFonts w:cstheme="minorHAnsi"/>
                <w:sz w:val="18"/>
                <w:szCs w:val="18"/>
                <w:vertAlign w:val="superscript"/>
              </w:rPr>
              <w:t>-1</w:t>
            </w:r>
          </w:p>
        </w:tc>
        <w:tc>
          <w:tcPr>
            <w:tcW w:w="893" w:type="dxa"/>
          </w:tcPr>
          <w:p w14:paraId="7DB073BE" w14:textId="2C85F840" w:rsidR="00C41D31" w:rsidRPr="00DC06A1" w:rsidRDefault="00C41D31" w:rsidP="00BF091D">
            <w:pPr>
              <w:spacing w:line="480" w:lineRule="auto"/>
              <w:jc w:val="center"/>
              <w:rPr>
                <w:rFonts w:cstheme="minorHAnsi"/>
                <w:sz w:val="18"/>
                <w:szCs w:val="18"/>
              </w:rPr>
            </w:pPr>
            <w:r>
              <w:rPr>
                <w:rFonts w:cstheme="minorHAnsi"/>
                <w:sz w:val="18"/>
                <w:szCs w:val="18"/>
              </w:rPr>
              <w:fldChar w:fldCharType="begin"/>
            </w:r>
            <w:r w:rsidR="00412373">
              <w:rPr>
                <w:rFonts w:cstheme="minorHAnsi"/>
                <w:sz w:val="18"/>
                <w:szCs w:val="18"/>
              </w:rPr>
              <w:instrText xml:space="preserve"> ADDIN EN.CITE &lt;EndNote&gt;&lt;Cite&gt;&lt;Author&gt;Funk&lt;/Author&gt;&lt;Year&gt;2016&lt;/Year&gt;&lt;RecNum&gt;837&lt;/RecNum&gt;&lt;DisplayText&gt;[2]&lt;/DisplayText&gt;&lt;record&gt;&lt;rec-number&gt;837&lt;/rec-number&gt;&lt;foreign-keys&gt;&lt;key app="EN" db-id="9a5dapd0f5r20sedrdopr29szrp2evd2rf9s" timestamp="1522171509"&gt;837&lt;/key&gt;&lt;/foreign-keys&gt;&lt;ref-type name="Journal Article"&gt;17&lt;/ref-type&gt;&lt;contributors&gt;&lt;authors&gt;&lt;author&gt;Funk, S&lt;/author&gt;&lt;author&gt;Kucharski, A&lt;/author&gt;&lt;author&gt;Camacho, A&lt;/author&gt;&lt;author&gt;Eggo, R&lt;/author&gt;&lt;author&gt;Yakob, L&lt;/author&gt;&lt;author&gt;Edmunds, W&lt;/author&gt;&lt;/authors&gt;&lt;/contributors&gt;&lt;titles&gt;&lt;title&gt;Comparative analysis of dengue and Zika outbreaks reveals differences by setting and virus.&lt;/title&gt;&lt;secondary-title&gt;PLoS Negl Trop Dis&lt;/secondary-title&gt;&lt;/titles&gt;&lt;periodical&gt;&lt;full-title&gt;PLoS Negl Trop Dis&lt;/full-title&gt;&lt;/periodical&gt;&lt;pages&gt;e0005173&lt;/pages&gt;&lt;volume&gt;10&lt;/volume&gt;&lt;dates&gt;&lt;year&gt;2016&lt;/year&gt;&lt;/dates&gt;&lt;urls&gt;&lt;/urls&gt;&lt;/record&gt;&lt;/Cite&gt;&lt;/EndNote&gt;</w:instrText>
            </w:r>
            <w:r>
              <w:rPr>
                <w:rFonts w:cstheme="minorHAnsi"/>
                <w:sz w:val="18"/>
                <w:szCs w:val="18"/>
              </w:rPr>
              <w:fldChar w:fldCharType="separate"/>
            </w:r>
            <w:r w:rsidR="00412373">
              <w:rPr>
                <w:rFonts w:cstheme="minorHAnsi"/>
                <w:noProof/>
                <w:sz w:val="18"/>
                <w:szCs w:val="18"/>
              </w:rPr>
              <w:t>[2]</w:t>
            </w:r>
            <w:r>
              <w:rPr>
                <w:rFonts w:cstheme="minorHAnsi"/>
                <w:sz w:val="18"/>
                <w:szCs w:val="18"/>
              </w:rPr>
              <w:fldChar w:fldCharType="end"/>
            </w:r>
          </w:p>
        </w:tc>
      </w:tr>
      <w:tr w:rsidR="00C41D31" w14:paraId="7E17DA64" w14:textId="77777777" w:rsidTr="00BF091D">
        <w:tc>
          <w:tcPr>
            <w:tcW w:w="1170" w:type="dxa"/>
            <w:shd w:val="clear" w:color="auto" w:fill="F2F2F2" w:themeFill="background1" w:themeFillShade="F2"/>
          </w:tcPr>
          <w:p w14:paraId="623A66A4" w14:textId="77777777" w:rsidR="00C41D31" w:rsidRPr="00DC06A1" w:rsidRDefault="00C41D31" w:rsidP="00BF091D">
            <w:pPr>
              <w:spacing w:line="480" w:lineRule="auto"/>
              <w:jc w:val="center"/>
              <w:rPr>
                <w:rFonts w:cstheme="minorHAnsi"/>
                <w:sz w:val="18"/>
                <w:szCs w:val="18"/>
              </w:rPr>
            </w:pPr>
            <w:r>
              <w:rPr>
                <w:rFonts w:cstheme="minorHAnsi"/>
                <w:sz w:val="18"/>
                <w:szCs w:val="18"/>
              </w:rPr>
              <w:t>µ</w:t>
            </w:r>
            <w:r w:rsidRPr="00591059">
              <w:rPr>
                <w:rFonts w:cstheme="minorHAnsi"/>
                <w:sz w:val="18"/>
                <w:szCs w:val="18"/>
                <w:vertAlign w:val="subscript"/>
              </w:rPr>
              <w:t>1</w:t>
            </w:r>
          </w:p>
        </w:tc>
        <w:tc>
          <w:tcPr>
            <w:tcW w:w="5130" w:type="dxa"/>
            <w:shd w:val="clear" w:color="auto" w:fill="F2F2F2" w:themeFill="background1" w:themeFillShade="F2"/>
          </w:tcPr>
          <w:p w14:paraId="75808D66" w14:textId="77777777" w:rsidR="00C41D31" w:rsidRPr="00DC06A1" w:rsidRDefault="00C41D31" w:rsidP="00BF091D">
            <w:pPr>
              <w:spacing w:line="480" w:lineRule="auto"/>
              <w:rPr>
                <w:rFonts w:cstheme="minorHAnsi"/>
                <w:sz w:val="18"/>
                <w:szCs w:val="18"/>
              </w:rPr>
            </w:pPr>
            <w:r w:rsidRPr="00DC06A1">
              <w:rPr>
                <w:rFonts w:cstheme="minorHAnsi"/>
                <w:sz w:val="18"/>
                <w:szCs w:val="18"/>
              </w:rPr>
              <w:t xml:space="preserve">adult mosquito death rate     </w:t>
            </w:r>
          </w:p>
        </w:tc>
        <w:tc>
          <w:tcPr>
            <w:tcW w:w="1263" w:type="dxa"/>
            <w:shd w:val="clear" w:color="auto" w:fill="F2F2F2" w:themeFill="background1" w:themeFillShade="F2"/>
          </w:tcPr>
          <w:p w14:paraId="5FBD6A81"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1/13</w:t>
            </w:r>
          </w:p>
        </w:tc>
        <w:tc>
          <w:tcPr>
            <w:tcW w:w="900" w:type="dxa"/>
            <w:shd w:val="clear" w:color="auto" w:fill="F2F2F2" w:themeFill="background1" w:themeFillShade="F2"/>
          </w:tcPr>
          <w:p w14:paraId="00ABB8CC"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d</w:t>
            </w:r>
            <w:r w:rsidRPr="00DC06A1">
              <w:rPr>
                <w:rFonts w:cstheme="minorHAnsi"/>
                <w:sz w:val="18"/>
                <w:szCs w:val="18"/>
                <w:vertAlign w:val="superscript"/>
              </w:rPr>
              <w:t>-1</w:t>
            </w:r>
          </w:p>
        </w:tc>
        <w:tc>
          <w:tcPr>
            <w:tcW w:w="893" w:type="dxa"/>
            <w:shd w:val="clear" w:color="auto" w:fill="F2F2F2" w:themeFill="background1" w:themeFillShade="F2"/>
          </w:tcPr>
          <w:p w14:paraId="56DD2D18" w14:textId="5384EE01" w:rsidR="00C41D31" w:rsidRPr="00DC06A1" w:rsidRDefault="00C41D31" w:rsidP="00BF091D">
            <w:pPr>
              <w:spacing w:line="480" w:lineRule="auto"/>
              <w:jc w:val="center"/>
              <w:rPr>
                <w:rFonts w:cstheme="minorHAnsi"/>
                <w:sz w:val="18"/>
                <w:szCs w:val="18"/>
              </w:rPr>
            </w:pPr>
            <w:r>
              <w:rPr>
                <w:rFonts w:cstheme="minorHAnsi"/>
                <w:sz w:val="18"/>
                <w:szCs w:val="18"/>
              </w:rPr>
              <w:fldChar w:fldCharType="begin"/>
            </w:r>
            <w:r w:rsidR="00412373">
              <w:rPr>
                <w:rFonts w:cstheme="minorHAnsi"/>
                <w:sz w:val="18"/>
                <w:szCs w:val="18"/>
              </w:rPr>
              <w:instrText xml:space="preserve"> ADDIN EN.CITE &lt;EndNote&gt;&lt;Cite&gt;&lt;Author&gt;Brady&lt;/Author&gt;&lt;Year&gt;2013&lt;/Year&gt;&lt;RecNum&gt;838&lt;/RecNum&gt;&lt;DisplayText&gt;[3]&lt;/DisplayText&gt;&lt;record&gt;&lt;rec-number&gt;838&lt;/rec-number&gt;&lt;foreign-keys&gt;&lt;key app="EN" db-id="9a5dapd0f5r20sedrdopr29szrp2evd2rf9s" timestamp="1522171773"&gt;838&lt;/key&gt;&lt;/foreign-keys&gt;&lt;ref-type name="Journal Article"&gt;17&lt;/ref-type&gt;&lt;contributors&gt;&lt;authors&gt;&lt;author&gt;Brady, O&lt;/author&gt;&lt;author&gt;Johansson, M&lt;/author&gt;&lt;author&gt;Guerra, C&lt;/author&gt;&lt;author&gt;Bhatt, S&lt;/author&gt;&lt;author&gt;Golding, N&lt;/author&gt;&lt;author&gt;Pigott, D&lt;/author&gt;&lt;author&gt;Delatte, H&lt;/author&gt;&lt;author&gt;Grech, M&lt;/author&gt;&lt;author&gt;Leisnham, P&lt;/author&gt;&lt;author&gt;Maciel-de_Freitas, R&lt;/author&gt;&lt;author&gt;Styer, L&lt;/author&gt;&lt;author&gt;Smith, D&lt;/author&gt;&lt;author&gt;Scott, T&lt;/author&gt;&lt;author&gt;Gething, P&lt;/author&gt;&lt;author&gt;Hay, S&lt;/author&gt;&lt;/authors&gt;&lt;/contributors&gt;&lt;titles&gt;&lt;title&gt;&lt;style face="normal" font="default" size="100%"&gt;Modelling adult &lt;/style&gt;&lt;style face="italic" font="default" size="100%"&gt;Aedes aegypti &lt;/style&gt;&lt;style face="normal" font="default" size="100%"&gt;and &lt;/style&gt;&lt;style face="italic" font="default" size="100%"&gt;Aedes albopictus&lt;/style&gt;&lt;style face="normal" font="default" size="100%"&gt; survival at different temperatures in laboratory and field settings.&lt;/style&gt;&lt;/title&gt;&lt;secondary-title&gt;Parasites &amp;amp; Vectors&lt;/secondary-title&gt;&lt;/titles&gt;&lt;periodical&gt;&lt;full-title&gt;Parasites &amp;amp; Vectors&lt;/full-title&gt;&lt;/periodical&gt;&lt;pages&gt;351&lt;/pages&gt;&lt;volume&gt;6&lt;/volume&gt;&lt;dates&gt;&lt;year&gt;2013&lt;/year&gt;&lt;/dates&gt;&lt;urls&gt;&lt;/urls&gt;&lt;/record&gt;&lt;/Cite&gt;&lt;/EndNote&gt;</w:instrText>
            </w:r>
            <w:r>
              <w:rPr>
                <w:rFonts w:cstheme="minorHAnsi"/>
                <w:sz w:val="18"/>
                <w:szCs w:val="18"/>
              </w:rPr>
              <w:fldChar w:fldCharType="separate"/>
            </w:r>
            <w:r w:rsidR="00412373">
              <w:rPr>
                <w:rFonts w:cstheme="minorHAnsi"/>
                <w:noProof/>
                <w:sz w:val="18"/>
                <w:szCs w:val="18"/>
              </w:rPr>
              <w:t>[3]</w:t>
            </w:r>
            <w:r>
              <w:rPr>
                <w:rFonts w:cstheme="minorHAnsi"/>
                <w:sz w:val="18"/>
                <w:szCs w:val="18"/>
              </w:rPr>
              <w:fldChar w:fldCharType="end"/>
            </w:r>
          </w:p>
        </w:tc>
      </w:tr>
      <w:tr w:rsidR="00C41D31" w14:paraId="07ECDC0E" w14:textId="77777777" w:rsidTr="00BF091D">
        <w:tc>
          <w:tcPr>
            <w:tcW w:w="1170" w:type="dxa"/>
          </w:tcPr>
          <w:p w14:paraId="7422307A" w14:textId="77777777" w:rsidR="00C41D31" w:rsidRPr="00DC06A1" w:rsidRDefault="00C41D31" w:rsidP="00BF091D">
            <w:pPr>
              <w:spacing w:line="480" w:lineRule="auto"/>
              <w:jc w:val="center"/>
              <w:rPr>
                <w:rFonts w:cstheme="minorHAnsi"/>
                <w:sz w:val="18"/>
                <w:szCs w:val="18"/>
              </w:rPr>
            </w:pPr>
            <w:r>
              <w:rPr>
                <w:rFonts w:cstheme="minorHAnsi"/>
                <w:sz w:val="18"/>
                <w:szCs w:val="18"/>
              </w:rPr>
              <w:t>µ</w:t>
            </w:r>
            <w:r w:rsidRPr="00306717">
              <w:rPr>
                <w:rFonts w:cstheme="minorHAnsi"/>
                <w:sz w:val="18"/>
                <w:szCs w:val="18"/>
                <w:vertAlign w:val="subscript"/>
              </w:rPr>
              <w:t>2</w:t>
            </w:r>
          </w:p>
        </w:tc>
        <w:tc>
          <w:tcPr>
            <w:tcW w:w="5130" w:type="dxa"/>
          </w:tcPr>
          <w:p w14:paraId="5EAAA5CA" w14:textId="77777777" w:rsidR="00C41D31" w:rsidRPr="00DC06A1" w:rsidRDefault="00C41D31" w:rsidP="00BF091D">
            <w:pPr>
              <w:spacing w:line="480" w:lineRule="auto"/>
              <w:rPr>
                <w:rFonts w:cstheme="minorHAnsi"/>
                <w:sz w:val="18"/>
                <w:szCs w:val="18"/>
              </w:rPr>
            </w:pPr>
            <w:r w:rsidRPr="00DC06A1">
              <w:rPr>
                <w:rFonts w:cstheme="minorHAnsi"/>
                <w:sz w:val="18"/>
                <w:szCs w:val="18"/>
              </w:rPr>
              <w:t xml:space="preserve">base immature mosquito death rate     </w:t>
            </w:r>
          </w:p>
        </w:tc>
        <w:tc>
          <w:tcPr>
            <w:tcW w:w="1263" w:type="dxa"/>
          </w:tcPr>
          <w:p w14:paraId="53A71EC2"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0.05</w:t>
            </w:r>
          </w:p>
        </w:tc>
        <w:tc>
          <w:tcPr>
            <w:tcW w:w="900" w:type="dxa"/>
          </w:tcPr>
          <w:p w14:paraId="4D53D34A"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d</w:t>
            </w:r>
            <w:r w:rsidRPr="00DC06A1">
              <w:rPr>
                <w:rFonts w:cstheme="minorHAnsi"/>
                <w:sz w:val="18"/>
                <w:szCs w:val="18"/>
                <w:vertAlign w:val="superscript"/>
              </w:rPr>
              <w:t>-1</w:t>
            </w:r>
          </w:p>
        </w:tc>
        <w:tc>
          <w:tcPr>
            <w:tcW w:w="893" w:type="dxa"/>
          </w:tcPr>
          <w:p w14:paraId="23DD9D6B"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w:t>
            </w:r>
          </w:p>
        </w:tc>
      </w:tr>
      <w:tr w:rsidR="00C41D31" w14:paraId="73170CBC" w14:textId="77777777" w:rsidTr="00BF091D">
        <w:tc>
          <w:tcPr>
            <w:tcW w:w="1170" w:type="dxa"/>
            <w:shd w:val="clear" w:color="auto" w:fill="F2F2F2" w:themeFill="background1" w:themeFillShade="F2"/>
          </w:tcPr>
          <w:p w14:paraId="24C2B1D2" w14:textId="77777777" w:rsidR="00C41D31" w:rsidRPr="00DC06A1" w:rsidRDefault="00C41D31" w:rsidP="00BF091D">
            <w:pPr>
              <w:spacing w:line="480" w:lineRule="auto"/>
              <w:jc w:val="center"/>
              <w:rPr>
                <w:rFonts w:cstheme="minorHAnsi"/>
                <w:sz w:val="18"/>
                <w:szCs w:val="18"/>
              </w:rPr>
            </w:pPr>
            <w:r>
              <w:rPr>
                <w:rFonts w:cstheme="minorHAnsi"/>
                <w:sz w:val="18"/>
                <w:szCs w:val="18"/>
              </w:rPr>
              <w:t>µ</w:t>
            </w:r>
            <w:r w:rsidRPr="00306717">
              <w:rPr>
                <w:rFonts w:cstheme="minorHAnsi"/>
                <w:sz w:val="18"/>
                <w:szCs w:val="18"/>
                <w:vertAlign w:val="subscript"/>
              </w:rPr>
              <w:t>3</w:t>
            </w:r>
          </w:p>
        </w:tc>
        <w:tc>
          <w:tcPr>
            <w:tcW w:w="5130" w:type="dxa"/>
            <w:shd w:val="clear" w:color="auto" w:fill="F2F2F2" w:themeFill="background1" w:themeFillShade="F2"/>
          </w:tcPr>
          <w:p w14:paraId="5C2C899F" w14:textId="77777777" w:rsidR="00C41D31" w:rsidRPr="00DC06A1" w:rsidRDefault="00C41D31" w:rsidP="00BF091D">
            <w:pPr>
              <w:spacing w:line="480" w:lineRule="auto"/>
              <w:rPr>
                <w:rFonts w:cstheme="minorHAnsi"/>
                <w:sz w:val="18"/>
                <w:szCs w:val="18"/>
              </w:rPr>
            </w:pPr>
            <w:r w:rsidRPr="00DC06A1">
              <w:rPr>
                <w:rFonts w:cstheme="minorHAnsi"/>
                <w:sz w:val="18"/>
                <w:szCs w:val="18"/>
              </w:rPr>
              <w:t>density-dependent modifier of immature mortality</w:t>
            </w:r>
          </w:p>
        </w:tc>
        <w:tc>
          <w:tcPr>
            <w:tcW w:w="1263" w:type="dxa"/>
            <w:shd w:val="clear" w:color="auto" w:fill="F2F2F2" w:themeFill="background1" w:themeFillShade="F2"/>
          </w:tcPr>
          <w:p w14:paraId="33A88BC7" w14:textId="77777777" w:rsidR="00C41D31" w:rsidRPr="00DC06A1" w:rsidRDefault="00C41D31" w:rsidP="00BF091D">
            <w:pPr>
              <w:spacing w:line="480" w:lineRule="auto"/>
              <w:jc w:val="center"/>
              <w:rPr>
                <w:rFonts w:cstheme="minorHAnsi"/>
                <w:sz w:val="18"/>
                <w:szCs w:val="18"/>
              </w:rPr>
            </w:pPr>
            <w:r w:rsidRPr="00DC06A1">
              <w:rPr>
                <w:rFonts w:cstheme="minorHAnsi"/>
                <w:color w:val="000000"/>
                <w:sz w:val="18"/>
                <w:szCs w:val="18"/>
              </w:rPr>
              <w:t>0.0000005-0.00000003</w:t>
            </w:r>
          </w:p>
        </w:tc>
        <w:tc>
          <w:tcPr>
            <w:tcW w:w="900" w:type="dxa"/>
            <w:shd w:val="clear" w:color="auto" w:fill="F2F2F2" w:themeFill="background1" w:themeFillShade="F2"/>
          </w:tcPr>
          <w:p w14:paraId="64072429"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d</w:t>
            </w:r>
            <w:r w:rsidRPr="00DC06A1">
              <w:rPr>
                <w:rFonts w:cstheme="minorHAnsi"/>
                <w:sz w:val="18"/>
                <w:szCs w:val="18"/>
                <w:vertAlign w:val="superscript"/>
              </w:rPr>
              <w:t>-1</w:t>
            </w:r>
          </w:p>
        </w:tc>
        <w:tc>
          <w:tcPr>
            <w:tcW w:w="893" w:type="dxa"/>
            <w:shd w:val="clear" w:color="auto" w:fill="F2F2F2" w:themeFill="background1" w:themeFillShade="F2"/>
          </w:tcPr>
          <w:p w14:paraId="0103350E"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varied</w:t>
            </w:r>
          </w:p>
        </w:tc>
      </w:tr>
      <w:tr w:rsidR="00C41D31" w14:paraId="29667FCE" w14:textId="77777777" w:rsidTr="00BF091D">
        <w:tc>
          <w:tcPr>
            <w:tcW w:w="1170" w:type="dxa"/>
          </w:tcPr>
          <w:p w14:paraId="56508068" w14:textId="77777777" w:rsidR="00C41D31" w:rsidRPr="00DC06A1" w:rsidRDefault="00C41D31" w:rsidP="00BF091D">
            <w:pPr>
              <w:spacing w:line="480" w:lineRule="auto"/>
              <w:jc w:val="center"/>
              <w:rPr>
                <w:rFonts w:cstheme="minorHAnsi"/>
                <w:sz w:val="18"/>
                <w:szCs w:val="18"/>
              </w:rPr>
            </w:pPr>
            <w:r>
              <w:rPr>
                <w:rFonts w:cstheme="minorHAnsi"/>
                <w:sz w:val="18"/>
                <w:szCs w:val="18"/>
              </w:rPr>
              <w:t>φ</w:t>
            </w:r>
          </w:p>
        </w:tc>
        <w:tc>
          <w:tcPr>
            <w:tcW w:w="5130" w:type="dxa"/>
          </w:tcPr>
          <w:p w14:paraId="695B01C0" w14:textId="77777777" w:rsidR="00C41D31" w:rsidRPr="00DC06A1" w:rsidRDefault="00C41D31" w:rsidP="00BF091D">
            <w:pPr>
              <w:spacing w:line="480" w:lineRule="auto"/>
              <w:rPr>
                <w:rFonts w:cstheme="minorHAnsi"/>
                <w:sz w:val="18"/>
                <w:szCs w:val="18"/>
              </w:rPr>
            </w:pPr>
            <w:r w:rsidRPr="00DC06A1">
              <w:rPr>
                <w:rFonts w:cstheme="minorHAnsi"/>
                <w:sz w:val="18"/>
                <w:szCs w:val="18"/>
              </w:rPr>
              <w:t xml:space="preserve">fecundity     </w:t>
            </w:r>
          </w:p>
        </w:tc>
        <w:tc>
          <w:tcPr>
            <w:tcW w:w="1263" w:type="dxa"/>
          </w:tcPr>
          <w:p w14:paraId="635F1923"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10</w:t>
            </w:r>
          </w:p>
        </w:tc>
        <w:tc>
          <w:tcPr>
            <w:tcW w:w="900" w:type="dxa"/>
          </w:tcPr>
          <w:p w14:paraId="52542D41"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d</w:t>
            </w:r>
            <w:r w:rsidRPr="00DC06A1">
              <w:rPr>
                <w:rFonts w:cstheme="minorHAnsi"/>
                <w:sz w:val="18"/>
                <w:szCs w:val="18"/>
                <w:vertAlign w:val="superscript"/>
              </w:rPr>
              <w:t>-1</w:t>
            </w:r>
          </w:p>
        </w:tc>
        <w:tc>
          <w:tcPr>
            <w:tcW w:w="893" w:type="dxa"/>
          </w:tcPr>
          <w:p w14:paraId="0258F2C7" w14:textId="631C8E89" w:rsidR="00C41D31" w:rsidRPr="00DC06A1" w:rsidRDefault="00C41D31" w:rsidP="00BF091D">
            <w:pPr>
              <w:spacing w:line="480" w:lineRule="auto"/>
              <w:jc w:val="center"/>
              <w:rPr>
                <w:rFonts w:cstheme="minorHAnsi"/>
                <w:sz w:val="18"/>
                <w:szCs w:val="18"/>
              </w:rPr>
            </w:pPr>
            <w:r>
              <w:rPr>
                <w:rFonts w:cstheme="minorHAnsi"/>
                <w:sz w:val="18"/>
                <w:szCs w:val="18"/>
              </w:rPr>
              <w:fldChar w:fldCharType="begin"/>
            </w:r>
            <w:r w:rsidR="00412373">
              <w:rPr>
                <w:rFonts w:cstheme="minorHAnsi"/>
                <w:sz w:val="18"/>
                <w:szCs w:val="18"/>
              </w:rPr>
              <w:instrText xml:space="preserve"> ADDIN EN.CITE &lt;EndNote&gt;&lt;Cite&gt;&lt;Author&gt;Braks&lt;/Author&gt;&lt;Year&gt;2006&lt;/Year&gt;&lt;RecNum&gt;2&lt;/RecNum&gt;&lt;DisplayText&gt;[4]&lt;/DisplayText&gt;&lt;record&gt;&lt;rec-number&gt;2&lt;/rec-number&gt;&lt;foreign-keys&gt;&lt;key app="EN" db-id="9a5dapd0f5r20sedrdopr29szrp2evd2rf9s" timestamp="0"&gt;2&lt;/key&gt;&lt;/foreign-keys&gt;&lt;ref-type name="Journal Article"&gt;17&lt;/ref-type&gt;&lt;contributors&gt;&lt;authors&gt;&lt;author&gt;Braks, M. A. H.&lt;/author&gt;&lt;author&gt;Juliano, S. A.&lt;/author&gt;&lt;author&gt;Lounibos, L. P.&lt;/author&gt;&lt;/authors&gt;&lt;/contributors&gt;&lt;titles&gt;&lt;title&gt;Superior reproductive success on human blood without sugar is not limited to highly anthropophilic mosquito species.&lt;/title&gt;&lt;secondary-title&gt;Medical and Veterinary Entomology&lt;/secondary-title&gt;&lt;/titles&gt;&lt;periodical&gt;&lt;full-title&gt;Medical and Veterinary Entomology&lt;/full-title&gt;&lt;/periodical&gt;&lt;pages&gt;53-59&lt;/pages&gt;&lt;volume&gt;20&lt;/volume&gt;&lt;dates&gt;&lt;year&gt;2006&lt;/year&gt;&lt;/dates&gt;&lt;urls&gt;&lt;/urls&gt;&lt;/record&gt;&lt;/Cite&gt;&lt;/EndNote&gt;</w:instrText>
            </w:r>
            <w:r>
              <w:rPr>
                <w:rFonts w:cstheme="minorHAnsi"/>
                <w:sz w:val="18"/>
                <w:szCs w:val="18"/>
              </w:rPr>
              <w:fldChar w:fldCharType="separate"/>
            </w:r>
            <w:r w:rsidR="00412373">
              <w:rPr>
                <w:rFonts w:cstheme="minorHAnsi"/>
                <w:noProof/>
                <w:sz w:val="18"/>
                <w:szCs w:val="18"/>
              </w:rPr>
              <w:t>[4]</w:t>
            </w:r>
            <w:r>
              <w:rPr>
                <w:rFonts w:cstheme="minorHAnsi"/>
                <w:sz w:val="18"/>
                <w:szCs w:val="18"/>
              </w:rPr>
              <w:fldChar w:fldCharType="end"/>
            </w:r>
          </w:p>
        </w:tc>
      </w:tr>
      <w:tr w:rsidR="00C41D31" w14:paraId="5537E9D2" w14:textId="77777777" w:rsidTr="00BF091D">
        <w:tc>
          <w:tcPr>
            <w:tcW w:w="1170" w:type="dxa"/>
            <w:tcBorders>
              <w:bottom w:val="single" w:sz="4" w:space="0" w:color="auto"/>
            </w:tcBorders>
            <w:shd w:val="clear" w:color="auto" w:fill="F2F2F2" w:themeFill="background1" w:themeFillShade="F2"/>
          </w:tcPr>
          <w:p w14:paraId="5C41CE90" w14:textId="77777777" w:rsidR="00C41D31" w:rsidRPr="00DC06A1" w:rsidRDefault="00C41D31" w:rsidP="00BF091D">
            <w:pPr>
              <w:spacing w:line="480" w:lineRule="auto"/>
              <w:jc w:val="center"/>
              <w:rPr>
                <w:rFonts w:cstheme="minorHAnsi"/>
                <w:sz w:val="18"/>
                <w:szCs w:val="18"/>
              </w:rPr>
            </w:pPr>
            <w:r>
              <w:rPr>
                <w:rFonts w:cstheme="minorHAnsi"/>
                <w:sz w:val="18"/>
                <w:szCs w:val="18"/>
              </w:rPr>
              <w:t>η</w:t>
            </w:r>
          </w:p>
        </w:tc>
        <w:tc>
          <w:tcPr>
            <w:tcW w:w="5130" w:type="dxa"/>
            <w:tcBorders>
              <w:bottom w:val="single" w:sz="4" w:space="0" w:color="auto"/>
            </w:tcBorders>
            <w:shd w:val="clear" w:color="auto" w:fill="F2F2F2" w:themeFill="background1" w:themeFillShade="F2"/>
          </w:tcPr>
          <w:p w14:paraId="639E5B27" w14:textId="77777777" w:rsidR="00C41D31" w:rsidRPr="00DC06A1" w:rsidRDefault="00C41D31" w:rsidP="00BF091D">
            <w:pPr>
              <w:spacing w:line="480" w:lineRule="auto"/>
              <w:rPr>
                <w:rFonts w:cstheme="minorHAnsi"/>
                <w:sz w:val="18"/>
                <w:szCs w:val="18"/>
              </w:rPr>
            </w:pPr>
            <w:r w:rsidRPr="00DC06A1">
              <w:rPr>
                <w:rFonts w:cstheme="minorHAnsi"/>
                <w:sz w:val="18"/>
                <w:szCs w:val="18"/>
              </w:rPr>
              <w:t>rate of larval development</w:t>
            </w:r>
          </w:p>
        </w:tc>
        <w:tc>
          <w:tcPr>
            <w:tcW w:w="1263" w:type="dxa"/>
            <w:tcBorders>
              <w:bottom w:val="single" w:sz="4" w:space="0" w:color="auto"/>
            </w:tcBorders>
            <w:shd w:val="clear" w:color="auto" w:fill="F2F2F2" w:themeFill="background1" w:themeFillShade="F2"/>
          </w:tcPr>
          <w:p w14:paraId="4D1BD623"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1/7</w:t>
            </w:r>
          </w:p>
        </w:tc>
        <w:tc>
          <w:tcPr>
            <w:tcW w:w="900" w:type="dxa"/>
            <w:tcBorders>
              <w:bottom w:val="single" w:sz="4" w:space="0" w:color="auto"/>
            </w:tcBorders>
            <w:shd w:val="clear" w:color="auto" w:fill="F2F2F2" w:themeFill="background1" w:themeFillShade="F2"/>
          </w:tcPr>
          <w:p w14:paraId="3FF2D6EE" w14:textId="77777777" w:rsidR="00C41D31" w:rsidRPr="00DC06A1" w:rsidRDefault="00C41D31" w:rsidP="00BF091D">
            <w:pPr>
              <w:spacing w:line="480" w:lineRule="auto"/>
              <w:jc w:val="center"/>
              <w:rPr>
                <w:rFonts w:cstheme="minorHAnsi"/>
                <w:sz w:val="18"/>
                <w:szCs w:val="18"/>
              </w:rPr>
            </w:pPr>
            <w:r w:rsidRPr="00DC06A1">
              <w:rPr>
                <w:rFonts w:cstheme="minorHAnsi"/>
                <w:sz w:val="18"/>
                <w:szCs w:val="18"/>
              </w:rPr>
              <w:t>d</w:t>
            </w:r>
            <w:r w:rsidRPr="00DC06A1">
              <w:rPr>
                <w:rFonts w:cstheme="minorHAnsi"/>
                <w:sz w:val="18"/>
                <w:szCs w:val="18"/>
                <w:vertAlign w:val="superscript"/>
              </w:rPr>
              <w:t>-1</w:t>
            </w:r>
          </w:p>
        </w:tc>
        <w:tc>
          <w:tcPr>
            <w:tcW w:w="893" w:type="dxa"/>
            <w:tcBorders>
              <w:bottom w:val="single" w:sz="4" w:space="0" w:color="auto"/>
            </w:tcBorders>
            <w:shd w:val="clear" w:color="auto" w:fill="F2F2F2" w:themeFill="background1" w:themeFillShade="F2"/>
          </w:tcPr>
          <w:p w14:paraId="622C369C" w14:textId="06575D76" w:rsidR="00C41D31" w:rsidRPr="00DC06A1" w:rsidRDefault="00C41D31" w:rsidP="00BF091D">
            <w:pPr>
              <w:spacing w:line="480" w:lineRule="auto"/>
              <w:jc w:val="center"/>
              <w:rPr>
                <w:rFonts w:cstheme="minorHAnsi"/>
                <w:sz w:val="18"/>
                <w:szCs w:val="18"/>
              </w:rPr>
            </w:pPr>
            <w:r>
              <w:rPr>
                <w:rFonts w:cstheme="minorHAnsi"/>
                <w:sz w:val="18"/>
                <w:szCs w:val="18"/>
              </w:rPr>
              <w:fldChar w:fldCharType="begin"/>
            </w:r>
            <w:r w:rsidR="00412373">
              <w:rPr>
                <w:rFonts w:cstheme="minorHAnsi"/>
                <w:sz w:val="18"/>
                <w:szCs w:val="18"/>
              </w:rPr>
              <w:instrText xml:space="preserve"> ADDIN EN.CITE &lt;EndNote&gt;&lt;Cite&gt;&lt;Author&gt;Couret&lt;/Author&gt;&lt;Year&gt;2014&lt;/Year&gt;&lt;RecNum&gt;839&lt;/RecNum&gt;&lt;DisplayText&gt;[5]&lt;/DisplayText&gt;&lt;record&gt;&lt;rec-number&gt;839&lt;/rec-number&gt;&lt;foreign-keys&gt;&lt;key app="EN" db-id="9a5dapd0f5r20sedrdopr29szrp2evd2rf9s" timestamp="1522171886"&gt;839&lt;/key&gt;&lt;/foreign-keys&gt;&lt;ref-type name="Journal Article"&gt;17&lt;/ref-type&gt;&lt;contributors&gt;&lt;authors&gt;&lt;author&gt;Couret, J&lt;/author&gt;&lt;author&gt;Benedict, M&lt;/author&gt;&lt;/authors&gt;&lt;/contributors&gt;&lt;titles&gt;&lt;title&gt;&lt;style face="normal" font="default" size="100%"&gt;A meta-analysis of the factors influencing development rate variation in &lt;/style&gt;&lt;style face="italic" font="default" size="100%"&gt;Aedes aegypti&lt;/style&gt;&lt;style face="normal" font="default" size="100%"&gt; (Diptera: Culicidae).&lt;/style&gt;&lt;/title&gt;&lt;secondary-title&gt;BMC Ecology&lt;/secondary-title&gt;&lt;/titles&gt;&lt;periodical&gt;&lt;full-title&gt;BMC Ecology&lt;/full-title&gt;&lt;/periodical&gt;&lt;pages&gt;3&lt;/pages&gt;&lt;volume&gt;14&lt;/volume&gt;&lt;dates&gt;&lt;year&gt;2014&lt;/year&gt;&lt;/dates&gt;&lt;urls&gt;&lt;/urls&gt;&lt;/record&gt;&lt;/Cite&gt;&lt;/EndNote&gt;</w:instrText>
            </w:r>
            <w:r>
              <w:rPr>
                <w:rFonts w:cstheme="minorHAnsi"/>
                <w:sz w:val="18"/>
                <w:szCs w:val="18"/>
              </w:rPr>
              <w:fldChar w:fldCharType="separate"/>
            </w:r>
            <w:r w:rsidR="00412373">
              <w:rPr>
                <w:rFonts w:cstheme="minorHAnsi"/>
                <w:noProof/>
                <w:sz w:val="18"/>
                <w:szCs w:val="18"/>
              </w:rPr>
              <w:t>[5]</w:t>
            </w:r>
            <w:r>
              <w:rPr>
                <w:rFonts w:cstheme="minorHAnsi"/>
                <w:sz w:val="18"/>
                <w:szCs w:val="18"/>
              </w:rPr>
              <w:fldChar w:fldCharType="end"/>
            </w:r>
          </w:p>
        </w:tc>
      </w:tr>
    </w:tbl>
    <w:p w14:paraId="5D11ED63" w14:textId="77777777" w:rsidR="00C41D31" w:rsidRDefault="00C41D31" w:rsidP="00C41D31">
      <w:pPr>
        <w:spacing w:line="480" w:lineRule="auto"/>
        <w:rPr>
          <w:rFonts w:cstheme="minorHAnsi"/>
          <w:szCs w:val="28"/>
        </w:rPr>
      </w:pPr>
    </w:p>
    <w:p w14:paraId="52DFB870" w14:textId="77777777" w:rsidR="00412373" w:rsidRDefault="00412373"/>
    <w:p w14:paraId="5E062F02" w14:textId="684FD851" w:rsidR="00412373" w:rsidRPr="00412373" w:rsidRDefault="00412373">
      <w:pPr>
        <w:rPr>
          <w:b/>
        </w:rPr>
      </w:pPr>
      <w:r w:rsidRPr="00412373">
        <w:rPr>
          <w:b/>
        </w:rPr>
        <w:t>References</w:t>
      </w:r>
    </w:p>
    <w:p w14:paraId="712103E5" w14:textId="77777777" w:rsidR="00412373" w:rsidRPr="00412373" w:rsidRDefault="00412373" w:rsidP="00412373">
      <w:pPr>
        <w:pStyle w:val="EndNoteBibliography"/>
        <w:spacing w:after="0"/>
      </w:pPr>
      <w:r>
        <w:fldChar w:fldCharType="begin"/>
      </w:r>
      <w:r>
        <w:instrText xml:space="preserve"> ADDIN EN.REFLIST </w:instrText>
      </w:r>
      <w:r>
        <w:fldChar w:fldCharType="separate"/>
      </w:r>
      <w:r w:rsidRPr="00412373">
        <w:t>1.</w:t>
      </w:r>
      <w:r w:rsidRPr="00412373">
        <w:tab/>
        <w:t>Manore C, Ostfeld R, Agusto F, Gaff H, Ladeau S. Defining the risk of Zika and chikungunya virus transmission in human population centers of the eastern United States. PLoS Negl Trop Dis. 2017;11:e0005255.</w:t>
      </w:r>
    </w:p>
    <w:p w14:paraId="3A750EC0" w14:textId="77777777" w:rsidR="00412373" w:rsidRPr="00412373" w:rsidRDefault="00412373" w:rsidP="00412373">
      <w:pPr>
        <w:pStyle w:val="EndNoteBibliography"/>
        <w:spacing w:after="0"/>
      </w:pPr>
      <w:r w:rsidRPr="00412373">
        <w:t>2.</w:t>
      </w:r>
      <w:r w:rsidRPr="00412373">
        <w:tab/>
        <w:t>Funk S, Kucharski A, Camacho A, Eggo R, Yakob L, Edmunds W. Comparative analysis of dengue and Zika outbreaks reveals differences by setting and virus. PLoS Negl Trop Dis. 2016;10:e0005173.</w:t>
      </w:r>
    </w:p>
    <w:p w14:paraId="7CE75EFB" w14:textId="77777777" w:rsidR="00412373" w:rsidRPr="00412373" w:rsidRDefault="00412373" w:rsidP="00412373">
      <w:pPr>
        <w:pStyle w:val="EndNoteBibliography"/>
        <w:spacing w:after="0"/>
      </w:pPr>
      <w:r w:rsidRPr="00412373">
        <w:t>3.</w:t>
      </w:r>
      <w:r w:rsidRPr="00412373">
        <w:tab/>
        <w:t xml:space="preserve">Brady O, Johansson M, Guerra C, Bhatt S, Golding N, Pigott D, et al. Modelling adult </w:t>
      </w:r>
      <w:r w:rsidRPr="00412373">
        <w:rPr>
          <w:i/>
        </w:rPr>
        <w:t xml:space="preserve">Aedes aegypti </w:t>
      </w:r>
      <w:r w:rsidRPr="00412373">
        <w:t xml:space="preserve">and </w:t>
      </w:r>
      <w:r w:rsidRPr="00412373">
        <w:rPr>
          <w:i/>
        </w:rPr>
        <w:t>Aedes albopictus</w:t>
      </w:r>
      <w:r w:rsidRPr="00412373">
        <w:t xml:space="preserve"> survival at different temperatures in laboratory and field settings. Parasites &amp; Vectors. 2013;6:351.</w:t>
      </w:r>
    </w:p>
    <w:p w14:paraId="35DE1960" w14:textId="77777777" w:rsidR="00412373" w:rsidRPr="00412373" w:rsidRDefault="00412373" w:rsidP="00412373">
      <w:pPr>
        <w:pStyle w:val="EndNoteBibliography"/>
        <w:spacing w:after="0"/>
      </w:pPr>
      <w:r w:rsidRPr="00412373">
        <w:t>4.</w:t>
      </w:r>
      <w:r w:rsidRPr="00412373">
        <w:tab/>
        <w:t>Braks MAH, Juliano SA, Lounibos LP. Superior reproductive success on human blood without sugar is not limited to highly anthropophilic mosquito species. Medical and Veterinary Entomology. 2006;20:53-9.</w:t>
      </w:r>
    </w:p>
    <w:p w14:paraId="25DA9864" w14:textId="12329F41" w:rsidR="00C41D31" w:rsidRDefault="00412373" w:rsidP="00D035B8">
      <w:pPr>
        <w:pStyle w:val="EndNoteBibliography"/>
      </w:pPr>
      <w:r w:rsidRPr="00412373">
        <w:t>5.</w:t>
      </w:r>
      <w:r w:rsidRPr="00412373">
        <w:tab/>
        <w:t xml:space="preserve">Couret J, Benedict M. A meta-analysis of the factors influencing development rate variation in </w:t>
      </w:r>
      <w:r w:rsidRPr="00412373">
        <w:rPr>
          <w:i/>
        </w:rPr>
        <w:t>Aedes aegypti</w:t>
      </w:r>
      <w:r w:rsidRPr="00412373">
        <w:t xml:space="preserve"> (Diptera: Culicidae). BMC Ecology. 2014;14:3.</w:t>
      </w:r>
      <w:r>
        <w:fldChar w:fldCharType="end"/>
      </w:r>
      <w:bookmarkStart w:id="0" w:name="_GoBack"/>
      <w:bookmarkEnd w:id="0"/>
    </w:p>
    <w:sectPr w:rsidR="00C41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5dapd0f5r20sedrdopr29szrp2evd2rf9s&quot;&gt;August2012&lt;record-ids&gt;&lt;item&gt;2&lt;/item&gt;&lt;item&gt;836&lt;/item&gt;&lt;item&gt;837&lt;/item&gt;&lt;item&gt;838&lt;/item&gt;&lt;item&gt;839&lt;/item&gt;&lt;/record-ids&gt;&lt;/item&gt;&lt;/Libraries&gt;"/>
  </w:docVars>
  <w:rsids>
    <w:rsidRoot w:val="00C41D31"/>
    <w:rsid w:val="00412373"/>
    <w:rsid w:val="00A86A8A"/>
    <w:rsid w:val="00C41D31"/>
    <w:rsid w:val="00D035B8"/>
    <w:rsid w:val="00D3002A"/>
    <w:rsid w:val="00D53E23"/>
    <w:rsid w:val="00D9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6EF7"/>
  <w15:chartTrackingRefBased/>
  <w15:docId w15:val="{00BEFAEA-2178-4E12-9777-0888D2CB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D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1237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12373"/>
    <w:rPr>
      <w:rFonts w:ascii="Calibri" w:hAnsi="Calibri" w:cs="Calibri"/>
      <w:noProof/>
    </w:rPr>
  </w:style>
  <w:style w:type="paragraph" w:customStyle="1" w:styleId="EndNoteBibliography">
    <w:name w:val="EndNote Bibliography"/>
    <w:basedOn w:val="Normal"/>
    <w:link w:val="EndNoteBibliographyChar"/>
    <w:rsid w:val="0041237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12373"/>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5</cp:revision>
  <dcterms:created xsi:type="dcterms:W3CDTF">2018-08-23T14:22:00Z</dcterms:created>
  <dcterms:modified xsi:type="dcterms:W3CDTF">2019-01-31T19:35:00Z</dcterms:modified>
</cp:coreProperties>
</file>