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DB" w:rsidRDefault="00296F35" w:rsidP="00D44ADB">
      <w:pPr>
        <w:pStyle w:val="Heading1"/>
      </w:pPr>
      <w:bookmarkStart w:id="0" w:name="_Toc436237098"/>
      <w:r>
        <w:t xml:space="preserve">S2 </w:t>
      </w:r>
      <w:r w:rsidR="00D44ADB">
        <w:t>Appendix: Assessing spatial dependence</w:t>
      </w:r>
      <w:bookmarkEnd w:id="0"/>
      <w:r w:rsidR="00D44ADB">
        <w:t xml:space="preserve"> </w:t>
      </w:r>
    </w:p>
    <w:p w:rsidR="00D44ADB" w:rsidRPr="00A9718A" w:rsidRDefault="00D44ADB" w:rsidP="00D44ADB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718A">
        <w:rPr>
          <w:rFonts w:ascii="Times New Roman" w:hAnsi="Times New Roman" w:cs="Times New Roman"/>
          <w:sz w:val="24"/>
          <w:szCs w:val="24"/>
        </w:rPr>
        <w:t>Cluster level standardized residuals for the fitted piece-wise model</w:t>
      </w:r>
      <w:r>
        <w:rPr>
          <w:rFonts w:ascii="Times New Roman" w:hAnsi="Times New Roman" w:cs="Times New Roman"/>
          <w:sz w:val="24"/>
          <w:szCs w:val="24"/>
        </w:rPr>
        <w:t xml:space="preserve">s were </w:t>
      </w:r>
      <w:r w:rsidRPr="00A9718A">
        <w:rPr>
          <w:rFonts w:ascii="Times New Roman" w:hAnsi="Times New Roman" w:cs="Times New Roman"/>
          <w:sz w:val="24"/>
          <w:szCs w:val="24"/>
        </w:rPr>
        <w:t xml:space="preserve">calculated </w:t>
      </w:r>
      <w:r>
        <w:rPr>
          <w:rFonts w:ascii="Times New Roman" w:hAnsi="Times New Roman" w:cs="Times New Roman"/>
          <w:sz w:val="24"/>
          <w:szCs w:val="24"/>
        </w:rPr>
        <w:t xml:space="preserve">according to the equation </w:t>
      </w:r>
      <w:r w:rsidR="005357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2.1; </w:t>
      </w:r>
    </w:p>
    <w:p w:rsidR="00D44ADB" w:rsidRPr="00A9718A" w:rsidRDefault="00D44ADB" w:rsidP="00D44ADB">
      <w:pPr>
        <w:spacing w:line="480" w:lineRule="auto"/>
        <w:ind w:firstLine="2160"/>
        <w:rPr>
          <w:rFonts w:ascii="Times New Roman" w:hAnsi="Times New Roman" w:cs="Times New Roman"/>
          <w:sz w:val="24"/>
          <w:szCs w:val="24"/>
        </w:rPr>
      </w:pPr>
      <w:proofErr w:type="spellStart"/>
      <w:r w:rsidRPr="00F32D47">
        <w:rPr>
          <w:sz w:val="36"/>
          <w:szCs w:val="36"/>
        </w:rPr>
        <w:t>Ϯ</w:t>
      </w:r>
      <w:r w:rsidRPr="00F32D47">
        <w:rPr>
          <w:sz w:val="36"/>
          <w:szCs w:val="36"/>
          <w:vertAlign w:val="subscript"/>
        </w:rPr>
        <w:t>i</w:t>
      </w:r>
      <w:proofErr w:type="spellEnd"/>
      <w:r>
        <w:t xml:space="preserve"> =</w:t>
      </w:r>
      <m:oMath>
        <m:f>
          <m:fPr>
            <m:ctrlPr>
              <w:rPr>
                <w:rFonts w:ascii="Cambria Math" w:hAnsi="Cambria Math"/>
                <w:i/>
                <w:sz w:val="4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40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40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40"/>
                    <w:szCs w:val="28"/>
                  </w:rPr>
                  <m:t>i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28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40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40"/>
                        <w:szCs w:val="28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40"/>
                        <w:szCs w:val="28"/>
                      </w:rPr>
                      <m:t>)</m:t>
                    </m:r>
                  </m:e>
                  <m:sup/>
                </m:sSup>
              </m:e>
            </m:rad>
          </m:den>
        </m:f>
      </m:oMath>
      <w:r w:rsidRPr="00E3783C">
        <w:rPr>
          <w:rFonts w:ascii="Times New Roman" w:hAnsi="Times New Roman" w:cs="Times New Roman"/>
          <w:sz w:val="24"/>
          <w:szCs w:val="24"/>
        </w:rPr>
        <w:t xml:space="preserve"> </w:t>
      </w:r>
      <w:r w:rsidR="005357A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783C">
        <w:rPr>
          <w:rFonts w:ascii="Times New Roman" w:hAnsi="Times New Roman" w:cs="Times New Roman"/>
          <w:sz w:val="24"/>
          <w:szCs w:val="24"/>
        </w:rPr>
        <w:t>(</w:t>
      </w:r>
      <w:r w:rsidR="005357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E3783C">
        <w:rPr>
          <w:rFonts w:ascii="Times New Roman" w:hAnsi="Times New Roman" w:cs="Times New Roman"/>
          <w:sz w:val="24"/>
          <w:szCs w:val="24"/>
        </w:rPr>
        <w:t>1)</w:t>
      </w:r>
    </w:p>
    <w:p w:rsidR="00D44ADB" w:rsidRDefault="00D44ADB" w:rsidP="00D44AD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9718A">
        <w:rPr>
          <w:rFonts w:ascii="Times New Roman" w:hAnsi="Times New Roman" w:cs="Times New Roman"/>
          <w:sz w:val="24"/>
          <w:szCs w:val="24"/>
        </w:rPr>
        <w:t>At location x</w:t>
      </w:r>
      <w:r w:rsidRPr="00A9718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A97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18A">
        <w:rPr>
          <w:rFonts w:ascii="Times New Roman" w:hAnsi="Times New Roman" w:cs="Times New Roman"/>
          <w:sz w:val="24"/>
          <w:szCs w:val="24"/>
        </w:rPr>
        <w:t>y</w:t>
      </w:r>
      <w:r w:rsidRPr="00A9718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A9718A">
        <w:rPr>
          <w:rFonts w:ascii="Times New Roman" w:hAnsi="Times New Roman" w:cs="Times New Roman"/>
          <w:sz w:val="24"/>
          <w:szCs w:val="24"/>
        </w:rPr>
        <w:t xml:space="preserve"> is the number of snakebites out of </w:t>
      </w:r>
      <w:proofErr w:type="spellStart"/>
      <w:proofErr w:type="gramStart"/>
      <w:r w:rsidRPr="00A9718A">
        <w:rPr>
          <w:rFonts w:ascii="Times New Roman" w:hAnsi="Times New Roman" w:cs="Times New Roman"/>
          <w:sz w:val="24"/>
          <w:szCs w:val="24"/>
        </w:rPr>
        <w:t>n</w:t>
      </w:r>
      <w:r w:rsidRPr="00A9718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A9718A">
        <w:rPr>
          <w:rFonts w:ascii="Times New Roman" w:hAnsi="Times New Roman" w:cs="Times New Roman"/>
          <w:sz w:val="24"/>
          <w:szCs w:val="24"/>
        </w:rPr>
        <w:t xml:space="preserve"> individuals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4FE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A3125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9718A">
        <w:rPr>
          <w:rFonts w:ascii="Times New Roman" w:hAnsi="Times New Roman" w:cs="Times New Roman"/>
          <w:sz w:val="24"/>
          <w:szCs w:val="24"/>
        </w:rPr>
        <w:t xml:space="preserve">is the probability that a person at location x will have a snakebite. </w:t>
      </w:r>
    </w:p>
    <w:p w:rsidR="00D44ADB" w:rsidRDefault="00D44ADB" w:rsidP="00D44AD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Respective m</w:t>
      </w:r>
      <w:r w:rsidRPr="00E41CD1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s of </w:t>
      </w:r>
      <w:r w:rsidRPr="00E41CD1">
        <w:rPr>
          <w:rFonts w:ascii="Times New Roman" w:hAnsi="Times New Roman" w:cs="Times New Roman"/>
          <w:sz w:val="24"/>
          <w:szCs w:val="24"/>
        </w:rPr>
        <w:t>the cluster level standardized residuals of fitted piece-wise linear model for snakebite and envenoming bites in Sri Lankan grid showed visually identifiable spatial patterns with</w:t>
      </w:r>
      <w:r w:rsidR="00FF1E9A">
        <w:rPr>
          <w:rFonts w:ascii="Times New Roman" w:hAnsi="Times New Roman" w:cs="Times New Roman"/>
          <w:sz w:val="24"/>
          <w:szCs w:val="24"/>
        </w:rPr>
        <w:t xml:space="preserve"> respect to cluster locations (F</w:t>
      </w:r>
      <w:r w:rsidRPr="00E41CD1">
        <w:rPr>
          <w:rFonts w:ascii="Times New Roman" w:hAnsi="Times New Roman" w:cs="Times New Roman"/>
          <w:sz w:val="24"/>
          <w:szCs w:val="24"/>
        </w:rPr>
        <w:t xml:space="preserve">igure </w:t>
      </w:r>
      <w:r w:rsidR="005357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5357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357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5357A3">
        <w:rPr>
          <w:rFonts w:ascii="Times New Roman" w:hAnsi="Times New Roman" w:cs="Times New Roman"/>
          <w:sz w:val="24"/>
          <w:szCs w:val="24"/>
        </w:rPr>
        <w:t>C</w:t>
      </w:r>
      <w:r w:rsidRPr="00E41CD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44ADB" w:rsidRDefault="00D44ADB" w:rsidP="00D44AD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1CD1">
        <w:rPr>
          <w:rFonts w:ascii="Times New Roman" w:hAnsi="Times New Roman" w:cs="Times New Roman"/>
          <w:sz w:val="24"/>
          <w:szCs w:val="24"/>
        </w:rPr>
        <w:t>Subsequently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1CD1">
        <w:rPr>
          <w:rFonts w:ascii="Times New Roman" w:hAnsi="Times New Roman" w:cs="Times New Roman"/>
          <w:sz w:val="24"/>
          <w:szCs w:val="24"/>
        </w:rPr>
        <w:t xml:space="preserve"> e</w:t>
      </w:r>
      <w:r w:rsidRPr="00A9718A">
        <w:rPr>
          <w:rFonts w:ascii="Times New Roman" w:hAnsi="Times New Roman" w:cs="Times New Roman"/>
          <w:sz w:val="24"/>
          <w:szCs w:val="24"/>
        </w:rPr>
        <w:t xml:space="preserve">mpirical </w:t>
      </w:r>
      <w:proofErr w:type="spellStart"/>
      <w:r w:rsidRPr="00A9718A">
        <w:rPr>
          <w:rFonts w:ascii="Times New Roman" w:hAnsi="Times New Roman" w:cs="Times New Roman"/>
          <w:sz w:val="24"/>
          <w:szCs w:val="24"/>
        </w:rPr>
        <w:t>variogram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</w:t>
      </w:r>
      <w:r w:rsidRPr="00A9718A">
        <w:rPr>
          <w:rFonts w:ascii="Times New Roman" w:hAnsi="Times New Roman" w:cs="Times New Roman"/>
          <w:sz w:val="24"/>
          <w:szCs w:val="24"/>
        </w:rPr>
        <w:t>calculated for snakebite</w:t>
      </w:r>
      <w:r>
        <w:rPr>
          <w:rFonts w:ascii="Times New Roman" w:hAnsi="Times New Roman" w:cs="Times New Roman"/>
          <w:sz w:val="24"/>
          <w:szCs w:val="24"/>
        </w:rPr>
        <w:t xml:space="preserve"> and envenoming bite</w:t>
      </w:r>
      <w:r w:rsidRPr="00A9718A">
        <w:rPr>
          <w:rFonts w:ascii="Times New Roman" w:hAnsi="Times New Roman" w:cs="Times New Roman"/>
          <w:sz w:val="24"/>
          <w:szCs w:val="24"/>
        </w:rPr>
        <w:t xml:space="preserve"> incidence at cluster level after transforming incidence </w:t>
      </w:r>
      <w:r>
        <w:rPr>
          <w:rFonts w:ascii="Times New Roman" w:hAnsi="Times New Roman" w:cs="Times New Roman"/>
          <w:sz w:val="24"/>
          <w:szCs w:val="24"/>
        </w:rPr>
        <w:t xml:space="preserve">statistics </w:t>
      </w:r>
      <w:r w:rsidRPr="00A9718A">
        <w:rPr>
          <w:rFonts w:ascii="Times New Roman" w:hAnsi="Times New Roman" w:cs="Times New Roman"/>
          <w:sz w:val="24"/>
          <w:szCs w:val="24"/>
        </w:rPr>
        <w:t xml:space="preserve">to empirical logit </w:t>
      </w:r>
      <w:r>
        <w:rPr>
          <w:rFonts w:ascii="Times New Roman" w:hAnsi="Times New Roman" w:cs="Times New Roman"/>
          <w:sz w:val="24"/>
          <w:szCs w:val="24"/>
        </w:rPr>
        <w:t xml:space="preserve">form (equation </w:t>
      </w:r>
      <w:r w:rsidR="005357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2.2 and </w:t>
      </w:r>
      <w:r w:rsidR="005357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2.3 respectively). </w:t>
      </w:r>
    </w:p>
    <w:p w:rsidR="00D44ADB" w:rsidRDefault="00D44ADB" w:rsidP="00D44A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CMTT12"/>
              <w:sz w:val="24"/>
              <w:szCs w:val="24"/>
              <w:lang w:bidi="si-LK"/>
            </w:rPr>
            <m:t xml:space="preserve">logit </m:t>
          </m:r>
          <m:d>
            <m:dPr>
              <m:ctrlPr>
                <w:rPr>
                  <w:rFonts w:ascii="Cambria Math" w:hAnsi="Cambria Math" w:cs="CMTT12"/>
                  <w:i/>
                  <w:sz w:val="24"/>
                  <w:szCs w:val="24"/>
                  <w:lang w:bidi="si-LK"/>
                </w:rPr>
              </m:ctrlPr>
            </m:dPr>
            <m:e>
              <m:r>
                <w:rPr>
                  <w:rFonts w:ascii="Cambria Math" w:hAnsi="Cambria Math" w:cs="CMTT12"/>
                  <w:sz w:val="24"/>
                  <w:szCs w:val="24"/>
                  <w:lang w:bidi="si-LK"/>
                </w:rPr>
                <m:t>Snakebite incidence</m:t>
              </m:r>
            </m:e>
          </m:d>
          <m:r>
            <w:rPr>
              <w:rFonts w:ascii="Cambria Math" w:hAnsi="Cambria Math" w:cs="CMTT12"/>
              <w:sz w:val="24"/>
              <w:szCs w:val="24"/>
              <w:lang w:bidi="si-LK"/>
            </w:rPr>
            <m:t xml:space="preserve">             =log</m:t>
          </m:r>
          <m:d>
            <m:dPr>
              <m:ctrlPr>
                <w:rPr>
                  <w:rFonts w:ascii="Cambria Math" w:hAnsi="Cambria Math" w:cs="CMTT12"/>
                  <w:i/>
                  <w:sz w:val="24"/>
                  <w:szCs w:val="24"/>
                  <w:lang w:bidi="si-LK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MTT12"/>
                      <w:i/>
                      <w:sz w:val="24"/>
                      <w:szCs w:val="24"/>
                      <w:lang w:bidi="si-LK"/>
                    </w:rPr>
                  </m:ctrlPr>
                </m:fPr>
                <m:num>
                  <m:r>
                    <w:rPr>
                      <w:rFonts w:ascii="Cambria Math" w:hAnsi="Cambria Math" w:cs="CMTT12"/>
                      <w:sz w:val="24"/>
                      <w:szCs w:val="24"/>
                      <w:lang w:bidi="si-LK"/>
                    </w:rPr>
                    <m:t>Number bitten+0.5</m:t>
                  </m:r>
                </m:num>
                <m:den>
                  <m:r>
                    <w:rPr>
                      <w:rFonts w:ascii="Cambria Math" w:hAnsi="Cambria Math" w:cs="CMTT12"/>
                      <w:lang w:bidi="si-LK"/>
                    </w:rPr>
                    <m:t>Number</m:t>
                  </m:r>
                  <m:r>
                    <w:rPr>
                      <w:rFonts w:ascii="Cambria Math" w:hAnsi="Cambria Math" w:cs="CMTT12"/>
                      <w:sz w:val="24"/>
                      <w:szCs w:val="24"/>
                      <w:lang w:bidi="si-LK"/>
                    </w:rPr>
                    <m:t xml:space="preserve"> sampled-Number bitten+0.5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      (S2.2)</m:t>
          </m:r>
        </m:oMath>
      </m:oMathPara>
    </w:p>
    <w:p w:rsidR="00D44ADB" w:rsidRDefault="00D44ADB" w:rsidP="00D44ADB">
      <w:pPr>
        <w:spacing w:line="480" w:lineRule="auto"/>
        <w:ind w:left="-90" w:hanging="135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CMTT12"/>
              <w:sz w:val="24"/>
              <w:szCs w:val="24"/>
              <w:lang w:bidi="si-LK"/>
            </w:rPr>
            <m:t xml:space="preserve">logit </m:t>
          </m:r>
          <m:d>
            <m:dPr>
              <m:ctrlPr>
                <w:rPr>
                  <w:rFonts w:ascii="Cambria Math" w:hAnsi="Cambria Math" w:cs="CMTT12"/>
                  <w:i/>
                  <w:sz w:val="24"/>
                  <w:szCs w:val="24"/>
                  <w:lang w:bidi="si-LK"/>
                </w:rPr>
              </m:ctrlPr>
            </m:dPr>
            <m:e>
              <m:r>
                <w:rPr>
                  <w:rFonts w:ascii="Cambria Math" w:hAnsi="Cambria Math" w:cs="CMTT12"/>
                  <w:sz w:val="24"/>
                  <w:szCs w:val="24"/>
                  <w:lang w:bidi="si-LK"/>
                </w:rPr>
                <m:t>Envenoming bite incidence</m:t>
              </m:r>
            </m:e>
          </m:d>
          <m:r>
            <w:rPr>
              <w:rFonts w:ascii="Cambria Math" w:hAnsi="Cambria Math" w:cs="CMTT12"/>
              <w:sz w:val="24"/>
              <w:szCs w:val="24"/>
              <w:lang w:bidi="si-LK"/>
            </w:rPr>
            <m:t>=log</m:t>
          </m:r>
          <m:d>
            <m:dPr>
              <m:ctrlPr>
                <w:rPr>
                  <w:rFonts w:ascii="Cambria Math" w:hAnsi="Cambria Math" w:cs="CMTT12"/>
                  <w:i/>
                  <w:sz w:val="24"/>
                  <w:szCs w:val="24"/>
                  <w:lang w:bidi="si-LK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MTT12"/>
                      <w:i/>
                      <w:sz w:val="24"/>
                      <w:szCs w:val="24"/>
                      <w:lang w:bidi="si-LK"/>
                    </w:rPr>
                  </m:ctrlPr>
                </m:fPr>
                <m:num>
                  <m:r>
                    <w:rPr>
                      <w:rFonts w:ascii="Cambria Math" w:hAnsi="Cambria Math" w:cs="CMTT12"/>
                      <w:sz w:val="24"/>
                      <w:szCs w:val="24"/>
                      <w:lang w:bidi="si-LK"/>
                    </w:rPr>
                    <m:t>Number envenomed+0.5</m:t>
                  </m:r>
                </m:num>
                <m:den>
                  <m:r>
                    <w:rPr>
                      <w:rFonts w:ascii="Cambria Math" w:hAnsi="Cambria Math" w:cs="CMTT12"/>
                      <w:sz w:val="24"/>
                      <w:szCs w:val="24"/>
                      <w:lang w:bidi="si-LK"/>
                    </w:rPr>
                    <m:t>Number sampled-Number envenomed+ 0.5</m:t>
                  </m:r>
                </m:den>
              </m:f>
            </m:e>
          </m:d>
          <m:r>
            <w:rPr>
              <w:rFonts w:ascii="Cambria Math" w:hAnsi="Cambria Math" w:cs="CMTT12"/>
              <w:sz w:val="24"/>
              <w:szCs w:val="24"/>
              <w:lang w:bidi="si-LK"/>
            </w:rPr>
            <m:t xml:space="preserve">         (S2.3)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</m:oMathPara>
    </w:p>
    <w:p w:rsidR="00D44ADB" w:rsidRPr="00E41CD1" w:rsidRDefault="00D44ADB" w:rsidP="00D44AD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E41CD1">
        <w:rPr>
          <w:rFonts w:ascii="Times New Roman" w:hAnsi="Times New Roman" w:cs="Times New Roman"/>
          <w:sz w:val="24"/>
          <w:szCs w:val="24"/>
        </w:rPr>
        <w:t xml:space="preserve">mpirical </w:t>
      </w:r>
      <w:proofErr w:type="spellStart"/>
      <w:r w:rsidRPr="00E41CD1">
        <w:rPr>
          <w:rFonts w:ascii="Times New Roman" w:hAnsi="Times New Roman" w:cs="Times New Roman"/>
          <w:sz w:val="24"/>
          <w:szCs w:val="24"/>
        </w:rPr>
        <w:t>variogram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41CD1">
        <w:rPr>
          <w:rFonts w:ascii="Times New Roman" w:hAnsi="Times New Roman" w:cs="Times New Roman"/>
          <w:sz w:val="24"/>
          <w:szCs w:val="24"/>
        </w:rPr>
        <w:t xml:space="preserve"> and theoretical </w:t>
      </w:r>
      <w:proofErr w:type="spellStart"/>
      <w:r w:rsidRPr="00E41CD1">
        <w:rPr>
          <w:rFonts w:ascii="Times New Roman" w:hAnsi="Times New Roman" w:cs="Times New Roman"/>
          <w:sz w:val="24"/>
          <w:szCs w:val="24"/>
        </w:rPr>
        <w:t>variogram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41CD1">
        <w:rPr>
          <w:rFonts w:ascii="Times New Roman" w:hAnsi="Times New Roman" w:cs="Times New Roman"/>
          <w:sz w:val="24"/>
          <w:szCs w:val="24"/>
        </w:rPr>
        <w:t xml:space="preserve"> for snakebite incidence and envenoming bite incidence showed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41CD1">
        <w:rPr>
          <w:rFonts w:ascii="Times New Roman" w:hAnsi="Times New Roman" w:cs="Times New Roman"/>
          <w:sz w:val="24"/>
          <w:szCs w:val="24"/>
        </w:rPr>
        <w:t xml:space="preserve"> existence of spatial </w:t>
      </w:r>
      <w:r>
        <w:rPr>
          <w:rFonts w:ascii="Times New Roman" w:hAnsi="Times New Roman" w:cs="Times New Roman"/>
          <w:sz w:val="24"/>
          <w:szCs w:val="24"/>
        </w:rPr>
        <w:t xml:space="preserve">correlation </w:t>
      </w:r>
      <w:r w:rsidRPr="00E41CD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B0018">
        <w:rPr>
          <w:rFonts w:ascii="Times New Roman" w:hAnsi="Times New Roman" w:cs="Times New Roman"/>
          <w:sz w:val="24"/>
          <w:szCs w:val="24"/>
        </w:rPr>
        <w:t>incidence data (F</w:t>
      </w:r>
      <w:r w:rsidRPr="00E41CD1">
        <w:rPr>
          <w:rFonts w:ascii="Times New Roman" w:hAnsi="Times New Roman" w:cs="Times New Roman"/>
          <w:sz w:val="24"/>
          <w:szCs w:val="24"/>
        </w:rPr>
        <w:t xml:space="preserve">igure </w:t>
      </w:r>
      <w:r w:rsidR="005357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F9402C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357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5357A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 respectively</w:t>
      </w:r>
      <w:r w:rsidRPr="00E41CD1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4746"/>
        <w:gridCol w:w="4647"/>
      </w:tblGrid>
      <w:tr w:rsidR="00D44ADB" w:rsidTr="008D3AD0">
        <w:trPr>
          <w:trHeight w:val="3977"/>
        </w:trPr>
        <w:tc>
          <w:tcPr>
            <w:tcW w:w="4746" w:type="dxa"/>
          </w:tcPr>
          <w:p w:rsidR="00D44ADB" w:rsidRDefault="00D44ADB" w:rsidP="004A0C1A">
            <w:pPr>
              <w:jc w:val="center"/>
            </w:pPr>
            <w:r>
              <w:rPr>
                <w:noProof/>
                <w:lang w:val="en-GB" w:eastAsia="en-GB" w:bidi="si-LK"/>
              </w:rPr>
              <w:drawing>
                <wp:inline distT="0" distB="0" distL="0" distR="0" wp14:anchorId="13BA603B" wp14:editId="700A7373">
                  <wp:extent cx="2466385" cy="24098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10792" t="18204" r="10069" b="14390"/>
                          <a:stretch/>
                        </pic:blipFill>
                        <pic:spPr bwMode="auto">
                          <a:xfrm>
                            <a:off x="0" y="0"/>
                            <a:ext cx="2509347" cy="2451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4ADB" w:rsidRDefault="00D44ADB" w:rsidP="008D3A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17" w:hanging="450"/>
            </w:pPr>
            <w:r>
              <w:t>M</w:t>
            </w:r>
            <w:r w:rsidRPr="00727730">
              <w:t>ap of standardized residuals</w:t>
            </w:r>
            <w:r>
              <w:t xml:space="preserve"> at sampled clusters from the non-spatial piece-wise model for snakebite</w:t>
            </w:r>
          </w:p>
        </w:tc>
        <w:tc>
          <w:tcPr>
            <w:tcW w:w="4647" w:type="dxa"/>
          </w:tcPr>
          <w:p w:rsidR="00D44ADB" w:rsidRDefault="00D44ADB" w:rsidP="004A0C1A">
            <w:pPr>
              <w:jc w:val="center"/>
            </w:pPr>
            <w:r>
              <w:rPr>
                <w:rFonts w:ascii="Arial" w:hAnsi="Arial" w:cs="Arial"/>
                <w:noProof/>
                <w:lang w:val="en-GB" w:eastAsia="en-GB" w:bidi="si-LK"/>
              </w:rPr>
              <w:drawing>
                <wp:inline distT="0" distB="0" distL="0" distR="0" wp14:anchorId="5BFBEF92" wp14:editId="6B22AA59">
                  <wp:extent cx="2267868" cy="2400300"/>
                  <wp:effectExtent l="0" t="0" r="0" b="0"/>
                  <wp:docPr id="21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t="17501" r="22447" b="3021"/>
                          <a:stretch/>
                        </pic:blipFill>
                        <pic:spPr bwMode="auto">
                          <a:xfrm>
                            <a:off x="0" y="0"/>
                            <a:ext cx="2273536" cy="240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4ADB" w:rsidRDefault="00D44ADB" w:rsidP="008D3A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31" w:hanging="450"/>
            </w:pPr>
            <w:r w:rsidRPr="00727730">
              <w:t xml:space="preserve">Empirical </w:t>
            </w:r>
            <w:r>
              <w:t xml:space="preserve">and </w:t>
            </w:r>
            <w:r w:rsidRPr="00727730">
              <w:t>theoretical variogram for snakebit</w:t>
            </w:r>
            <w:r>
              <w:t>e incidence</w:t>
            </w:r>
          </w:p>
        </w:tc>
      </w:tr>
      <w:tr w:rsidR="00D44ADB" w:rsidTr="008D3AD0">
        <w:trPr>
          <w:trHeight w:val="3977"/>
        </w:trPr>
        <w:tc>
          <w:tcPr>
            <w:tcW w:w="4746" w:type="dxa"/>
          </w:tcPr>
          <w:p w:rsidR="00D44ADB" w:rsidRDefault="00D44ADB" w:rsidP="004A0C1A">
            <w:pPr>
              <w:jc w:val="center"/>
              <w:rPr>
                <w:noProof/>
                <w:lang w:bidi="si-LK"/>
              </w:rPr>
            </w:pPr>
            <w:r>
              <w:rPr>
                <w:noProof/>
                <w:lang w:val="en-GB" w:eastAsia="en-GB" w:bidi="si-LK"/>
              </w:rPr>
              <w:drawing>
                <wp:inline distT="0" distB="0" distL="0" distR="0" wp14:anchorId="2BEE1145" wp14:editId="67193E22">
                  <wp:extent cx="2774206" cy="2143125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8192" t="17165" r="7320" b="11546"/>
                          <a:stretch/>
                        </pic:blipFill>
                        <pic:spPr bwMode="auto">
                          <a:xfrm>
                            <a:off x="0" y="0"/>
                            <a:ext cx="2817958" cy="2176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4ADB" w:rsidRPr="00733AFD" w:rsidRDefault="00A31250" w:rsidP="008D3AD0">
            <w:pPr>
              <w:pStyle w:val="ListParagraph"/>
              <w:numPr>
                <w:ilvl w:val="0"/>
                <w:numId w:val="5"/>
              </w:numPr>
              <w:tabs>
                <w:tab w:val="left" w:pos="3045"/>
              </w:tabs>
              <w:spacing w:after="0" w:line="240" w:lineRule="auto"/>
              <w:ind w:left="517" w:hanging="450"/>
              <w:rPr>
                <w:lang w:bidi="si-LK"/>
              </w:rPr>
            </w:pPr>
            <w:r>
              <w:t xml:space="preserve"> </w:t>
            </w:r>
            <w:r w:rsidR="00D44ADB">
              <w:t>M</w:t>
            </w:r>
            <w:r w:rsidR="00D44ADB" w:rsidRPr="00727730">
              <w:t>ap of standardized residuals</w:t>
            </w:r>
            <w:r w:rsidR="00D44ADB">
              <w:t xml:space="preserve"> at sampled clusters from the non-spatial piece-wise model for envenoming bite</w:t>
            </w:r>
          </w:p>
        </w:tc>
        <w:tc>
          <w:tcPr>
            <w:tcW w:w="4647" w:type="dxa"/>
          </w:tcPr>
          <w:p w:rsidR="00D44ADB" w:rsidRDefault="00D44ADB" w:rsidP="004A0C1A">
            <w:pPr>
              <w:jc w:val="center"/>
              <w:rPr>
                <w:rFonts w:ascii="Arial" w:hAnsi="Arial" w:cs="Arial"/>
                <w:noProof/>
                <w:lang w:bidi="si-LK"/>
              </w:rPr>
            </w:pPr>
            <w:r>
              <w:rPr>
                <w:noProof/>
                <w:lang w:val="en-GB" w:eastAsia="en-GB" w:bidi="si-LK"/>
              </w:rPr>
              <w:drawing>
                <wp:inline distT="0" distB="0" distL="0" distR="0" wp14:anchorId="4E7195C9" wp14:editId="768C2E63">
                  <wp:extent cx="2476831" cy="2286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t="19790" r="27348" b="5536"/>
                          <a:stretch/>
                        </pic:blipFill>
                        <pic:spPr bwMode="auto">
                          <a:xfrm>
                            <a:off x="0" y="0"/>
                            <a:ext cx="2518385" cy="2324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4ADB" w:rsidRPr="00B243B6" w:rsidRDefault="00D44ADB" w:rsidP="008D3A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31" w:hanging="450"/>
              <w:rPr>
                <w:rFonts w:ascii="Arial" w:hAnsi="Arial" w:cs="Arial"/>
                <w:noProof/>
                <w:lang w:bidi="si-LK"/>
              </w:rPr>
            </w:pPr>
            <w:r w:rsidRPr="00727730">
              <w:t xml:space="preserve">Empirical </w:t>
            </w:r>
            <w:r>
              <w:t xml:space="preserve">and </w:t>
            </w:r>
            <w:r w:rsidRPr="00727730">
              <w:t xml:space="preserve">theoretical variogram for </w:t>
            </w:r>
            <w:r>
              <w:t xml:space="preserve">envenoming </w:t>
            </w:r>
            <w:r w:rsidRPr="00727730">
              <w:t>bit</w:t>
            </w:r>
            <w:r>
              <w:t>e incidence</w:t>
            </w:r>
          </w:p>
        </w:tc>
        <w:bookmarkStart w:id="1" w:name="_GoBack"/>
        <w:bookmarkEnd w:id="1"/>
      </w:tr>
    </w:tbl>
    <w:p w:rsidR="00D44ADB" w:rsidRDefault="00D44ADB" w:rsidP="00D44ADB">
      <w:pPr>
        <w:rPr>
          <w:b/>
        </w:rPr>
      </w:pPr>
    </w:p>
    <w:p w:rsidR="00D44ADB" w:rsidRPr="005357A3" w:rsidRDefault="00D44ADB" w:rsidP="00D44ADB">
      <w:pPr>
        <w:rPr>
          <w:rFonts w:ascii="Times New Roman" w:hAnsi="Times New Roman" w:cs="Times New Roman"/>
          <w:sz w:val="24"/>
          <w:szCs w:val="24"/>
        </w:rPr>
      </w:pPr>
      <w:r w:rsidRPr="005357A3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5357A3" w:rsidRPr="005357A3">
        <w:rPr>
          <w:rFonts w:ascii="Times New Roman" w:hAnsi="Times New Roman" w:cs="Times New Roman"/>
          <w:b/>
          <w:sz w:val="24"/>
          <w:szCs w:val="24"/>
        </w:rPr>
        <w:t>S</w:t>
      </w:r>
      <w:r w:rsidRPr="005357A3">
        <w:rPr>
          <w:rFonts w:ascii="Times New Roman" w:hAnsi="Times New Roman" w:cs="Times New Roman"/>
          <w:b/>
          <w:sz w:val="24"/>
          <w:szCs w:val="24"/>
        </w:rPr>
        <w:t xml:space="preserve">2.1: Evaluation of spatial correlation: </w:t>
      </w:r>
      <w:r w:rsidR="00A31250" w:rsidRPr="005357A3">
        <w:rPr>
          <w:rFonts w:ascii="Times New Roman" w:hAnsi="Times New Roman" w:cs="Times New Roman"/>
          <w:b/>
          <w:sz w:val="24"/>
          <w:szCs w:val="24"/>
        </w:rPr>
        <w:t>(A</w:t>
      </w:r>
      <w:r w:rsidRPr="005357A3">
        <w:rPr>
          <w:rFonts w:ascii="Times New Roman" w:hAnsi="Times New Roman" w:cs="Times New Roman"/>
          <w:b/>
          <w:sz w:val="24"/>
          <w:szCs w:val="24"/>
        </w:rPr>
        <w:t xml:space="preserve">) and </w:t>
      </w:r>
      <w:r w:rsidR="00A31250" w:rsidRPr="005357A3">
        <w:rPr>
          <w:rFonts w:ascii="Times New Roman" w:hAnsi="Times New Roman" w:cs="Times New Roman"/>
          <w:b/>
          <w:sz w:val="24"/>
          <w:szCs w:val="24"/>
        </w:rPr>
        <w:t>(C</w:t>
      </w:r>
      <w:r w:rsidRPr="005357A3">
        <w:rPr>
          <w:rFonts w:ascii="Times New Roman" w:hAnsi="Times New Roman" w:cs="Times New Roman"/>
          <w:b/>
          <w:sz w:val="24"/>
          <w:szCs w:val="24"/>
        </w:rPr>
        <w:t xml:space="preserve">) show standardized residuals are not random at sampled cluster locations for snakebite and envenoming bite incidence respectively (i.e. existence of visually identifiable patterns at </w:t>
      </w:r>
      <w:r w:rsidR="008F3CA1" w:rsidRPr="005357A3">
        <w:rPr>
          <w:rFonts w:ascii="Times New Roman" w:hAnsi="Times New Roman" w:cs="Times New Roman"/>
          <w:b/>
          <w:sz w:val="24"/>
          <w:szCs w:val="24"/>
        </w:rPr>
        <w:t>sampled clusters).  Figure (B</w:t>
      </w:r>
      <w:r w:rsidRPr="005357A3">
        <w:rPr>
          <w:rFonts w:ascii="Times New Roman" w:hAnsi="Times New Roman" w:cs="Times New Roman"/>
          <w:b/>
          <w:sz w:val="24"/>
          <w:szCs w:val="24"/>
        </w:rPr>
        <w:t xml:space="preserve">) and </w:t>
      </w:r>
      <w:r w:rsidR="008F3CA1" w:rsidRPr="005357A3">
        <w:rPr>
          <w:rFonts w:ascii="Times New Roman" w:hAnsi="Times New Roman" w:cs="Times New Roman"/>
          <w:b/>
          <w:sz w:val="24"/>
          <w:szCs w:val="24"/>
        </w:rPr>
        <w:t>(D</w:t>
      </w:r>
      <w:r w:rsidRPr="005357A3">
        <w:rPr>
          <w:rFonts w:ascii="Times New Roman" w:hAnsi="Times New Roman" w:cs="Times New Roman"/>
          <w:b/>
          <w:sz w:val="24"/>
          <w:szCs w:val="24"/>
        </w:rPr>
        <w:t>) illustrate the existence of spatial correlation with respect to snakebite and envenoming bite incidence data respectively.</w:t>
      </w:r>
    </w:p>
    <w:p w:rsidR="00D44ADB" w:rsidRDefault="00D44ADB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D44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TT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977"/>
    <w:multiLevelType w:val="hybridMultilevel"/>
    <w:tmpl w:val="8A100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1AE2"/>
    <w:multiLevelType w:val="hybridMultilevel"/>
    <w:tmpl w:val="092C2644"/>
    <w:lvl w:ilvl="0" w:tplc="7A66F8C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C2420B"/>
    <w:multiLevelType w:val="hybridMultilevel"/>
    <w:tmpl w:val="1118131E"/>
    <w:lvl w:ilvl="0" w:tplc="E124DF88">
      <w:start w:val="1"/>
      <w:numFmt w:val="upp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D194F"/>
    <w:multiLevelType w:val="hybridMultilevel"/>
    <w:tmpl w:val="88F82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75E7A"/>
    <w:multiLevelType w:val="hybridMultilevel"/>
    <w:tmpl w:val="415CF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NTOzNDYwM7YwMjNR0lEKTi0uzszPAykwrAUAJ8Q85CwAAAA="/>
  </w:docVars>
  <w:rsids>
    <w:rsidRoot w:val="005D1B56"/>
    <w:rsid w:val="0009506D"/>
    <w:rsid w:val="0009512C"/>
    <w:rsid w:val="00296F35"/>
    <w:rsid w:val="00340C99"/>
    <w:rsid w:val="005357A3"/>
    <w:rsid w:val="005D1B56"/>
    <w:rsid w:val="005D4BE3"/>
    <w:rsid w:val="0065782C"/>
    <w:rsid w:val="00800329"/>
    <w:rsid w:val="008A2C4E"/>
    <w:rsid w:val="008D3AD0"/>
    <w:rsid w:val="008F3CA1"/>
    <w:rsid w:val="009B0018"/>
    <w:rsid w:val="00A2451A"/>
    <w:rsid w:val="00A31250"/>
    <w:rsid w:val="00A85286"/>
    <w:rsid w:val="00BF1544"/>
    <w:rsid w:val="00D44ADB"/>
    <w:rsid w:val="00EC0101"/>
    <w:rsid w:val="00F9402C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0DD8F-E392-4A43-B34D-A9C0C28A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56"/>
    <w:pPr>
      <w:spacing w:after="200" w:line="276" w:lineRule="auto"/>
    </w:pPr>
    <w:rPr>
      <w:rFonts w:eastAsiaTheme="minorEastAsia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B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D1B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ar-SA"/>
    </w:rPr>
  </w:style>
  <w:style w:type="table" w:styleId="TableGrid">
    <w:name w:val="Table Grid"/>
    <w:basedOn w:val="TableNormal"/>
    <w:uiPriority w:val="59"/>
    <w:rsid w:val="005D1B56"/>
    <w:pPr>
      <w:spacing w:after="0" w:line="240" w:lineRule="auto"/>
    </w:pPr>
    <w:rPr>
      <w:rFonts w:eastAsiaTheme="minorEastAsia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D1B5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1B56"/>
    <w:rPr>
      <w:rFonts w:ascii="Consolas" w:eastAsiaTheme="minorEastAsia" w:hAnsi="Consolas" w:cs="Consolas"/>
      <w:sz w:val="20"/>
      <w:szCs w:val="20"/>
      <w:lang w:val="en-US" w:bidi="ar-SA"/>
    </w:rPr>
  </w:style>
  <w:style w:type="table" w:customStyle="1" w:styleId="TableGrid1">
    <w:name w:val="Table Grid1"/>
    <w:basedOn w:val="TableNormal"/>
    <w:next w:val="TableGrid"/>
    <w:uiPriority w:val="59"/>
    <w:rsid w:val="005D1B56"/>
    <w:pPr>
      <w:spacing w:after="0" w:line="240" w:lineRule="auto"/>
    </w:pPr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B56"/>
    <w:pPr>
      <w:ind w:left="720"/>
      <w:contextualSpacing/>
    </w:pPr>
    <w:rPr>
      <w:rFonts w:ascii="Times New Roman" w:eastAsiaTheme="minorHAnsi" w:hAnsi="Times New Roman"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44A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AD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9402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9402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402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4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E922-51FE-446D-B6EF-2E5744EB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Dileepa Ediriweera</dc:creator>
  <cp:keywords/>
  <dc:description/>
  <cp:lastModifiedBy>Dileepa Ediriweera</cp:lastModifiedBy>
  <cp:revision>11</cp:revision>
  <dcterms:created xsi:type="dcterms:W3CDTF">2015-11-22T17:15:00Z</dcterms:created>
  <dcterms:modified xsi:type="dcterms:W3CDTF">2015-12-13T05:08:00Z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edileepa@gmail.com@www.mendeley.com</vt:lpwstr>
  </property>
  <property fmtid="{D5CDD505-2E9C-101B-9397-08002B2CF9AE}" pid="4" name="Mendeley Citation Style_1">
    <vt:lpwstr>http://www.zotero.org/styles/environmental-health-perspectives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http://www.zotero.org/styles/environmental-health-perspectives</vt:lpwstr>
  </property>
  <property fmtid="{D5CDD505-2E9C-101B-9397-08002B2CF9AE}" pid="14" name="Mendeley Recent Style Name 4_1">
    <vt:lpwstr>Environmental Health Perspectives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